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40" w:rsidRPr="00040517" w:rsidRDefault="00F40940" w:rsidP="00F40940">
      <w:pPr>
        <w:rPr>
          <w:b/>
          <w:sz w:val="32"/>
          <w:szCs w:val="32"/>
          <w:u w:val="single"/>
        </w:rPr>
      </w:pPr>
      <w:r w:rsidRPr="00040517">
        <w:rPr>
          <w:b/>
          <w:sz w:val="32"/>
          <w:szCs w:val="32"/>
          <w:u w:val="single"/>
        </w:rPr>
        <w:t xml:space="preserve">Examples </w:t>
      </w:r>
      <w:r w:rsidR="00A74EDC" w:rsidRPr="00040517">
        <w:rPr>
          <w:b/>
          <w:sz w:val="32"/>
          <w:szCs w:val="32"/>
          <w:u w:val="single"/>
        </w:rPr>
        <w:t>to</w:t>
      </w:r>
      <w:r w:rsidR="00A74EDC">
        <w:rPr>
          <w:b/>
          <w:sz w:val="32"/>
          <w:szCs w:val="32"/>
          <w:u w:val="single"/>
        </w:rPr>
        <w:t xml:space="preserve"> help you r</w:t>
      </w:r>
      <w:r w:rsidRPr="00040517">
        <w:rPr>
          <w:b/>
          <w:sz w:val="32"/>
          <w:szCs w:val="32"/>
          <w:u w:val="single"/>
        </w:rPr>
        <w:t>espond</w:t>
      </w:r>
      <w:r>
        <w:rPr>
          <w:b/>
          <w:sz w:val="32"/>
          <w:szCs w:val="32"/>
          <w:u w:val="single"/>
        </w:rPr>
        <w:t>:</w:t>
      </w:r>
    </w:p>
    <w:p w:rsidR="00F40940" w:rsidRPr="00F757E1" w:rsidRDefault="00F40940" w:rsidP="00F40940">
      <w:pPr>
        <w:rPr>
          <w:b/>
          <w:color w:val="000000" w:themeColor="text1"/>
          <w:sz w:val="24"/>
          <w:szCs w:val="28"/>
        </w:rPr>
      </w:pPr>
      <w:r w:rsidRPr="004B418D">
        <w:rPr>
          <w:b/>
          <w:color w:val="000000" w:themeColor="text1"/>
          <w:sz w:val="24"/>
          <w:szCs w:val="28"/>
        </w:rPr>
        <w:t>Note:</w:t>
      </w:r>
      <w:r>
        <w:rPr>
          <w:b/>
          <w:color w:val="000000" w:themeColor="text1"/>
          <w:sz w:val="24"/>
          <w:szCs w:val="28"/>
        </w:rPr>
        <w:t xml:space="preserve"> </w:t>
      </w:r>
      <w:r w:rsidRPr="004B418D">
        <w:rPr>
          <w:color w:val="000000" w:themeColor="text1"/>
          <w:sz w:val="24"/>
          <w:szCs w:val="28"/>
        </w:rPr>
        <w:t xml:space="preserve">Below are examples that may help you on topics to feedback based on discussions from members of the SOWHAT group. </w:t>
      </w:r>
    </w:p>
    <w:p w:rsidR="00F40940" w:rsidRPr="00EE5F4E" w:rsidRDefault="00F40940" w:rsidP="00F40940">
      <w:pPr>
        <w:rPr>
          <w:color w:val="000000" w:themeColor="text1"/>
          <w:sz w:val="24"/>
          <w:szCs w:val="28"/>
        </w:rPr>
      </w:pPr>
      <w:r>
        <w:rPr>
          <w:color w:val="000000" w:themeColor="text1"/>
          <w:sz w:val="24"/>
          <w:szCs w:val="28"/>
        </w:rPr>
        <w:t>If</w:t>
      </w:r>
      <w:r w:rsidRPr="004B418D">
        <w:rPr>
          <w:color w:val="000000" w:themeColor="text1"/>
          <w:sz w:val="24"/>
          <w:szCs w:val="28"/>
        </w:rPr>
        <w:t xml:space="preserve"> you think of more, </w:t>
      </w:r>
      <w:r w:rsidRPr="00F8677F">
        <w:rPr>
          <w:b/>
          <w:color w:val="000000" w:themeColor="text1"/>
          <w:sz w:val="24"/>
          <w:szCs w:val="28"/>
        </w:rPr>
        <w:t>do share</w:t>
      </w:r>
      <w:r w:rsidRPr="004B418D">
        <w:rPr>
          <w:color w:val="000000" w:themeColor="text1"/>
          <w:sz w:val="24"/>
          <w:szCs w:val="28"/>
        </w:rPr>
        <w:t xml:space="preserve"> with the group on </w:t>
      </w:r>
      <w:hyperlink r:id="rId5" w:history="1">
        <w:r w:rsidRPr="004B418D">
          <w:rPr>
            <w:color w:val="4472C4" w:themeColor="accent5"/>
            <w:sz w:val="24"/>
            <w:szCs w:val="28"/>
            <w:u w:val="single"/>
          </w:rPr>
          <w:t>facebook</w:t>
        </w:r>
      </w:hyperlink>
      <w:r w:rsidRPr="004B418D">
        <w:rPr>
          <w:color w:val="000000" w:themeColor="text1"/>
          <w:sz w:val="24"/>
          <w:szCs w:val="28"/>
        </w:rPr>
        <w:t xml:space="preserve">, or via email </w:t>
      </w:r>
      <w:r w:rsidRPr="004B418D">
        <w:rPr>
          <w:color w:val="4472C4" w:themeColor="accent5"/>
          <w:sz w:val="24"/>
          <w:szCs w:val="28"/>
        </w:rPr>
        <w:t>(</w:t>
      </w:r>
      <w:hyperlink r:id="rId6" w:history="1">
        <w:r w:rsidRPr="004B418D">
          <w:rPr>
            <w:color w:val="4472C4" w:themeColor="accent5"/>
            <w:sz w:val="24"/>
            <w:szCs w:val="28"/>
            <w:u w:val="single"/>
          </w:rPr>
          <w:t>woodlesfordhs2@gmail.com</w:t>
        </w:r>
      </w:hyperlink>
      <w:r w:rsidRPr="004B418D">
        <w:rPr>
          <w:color w:val="4472C4" w:themeColor="accent5"/>
          <w:sz w:val="24"/>
          <w:szCs w:val="28"/>
        </w:rPr>
        <w:t xml:space="preserve">) </w:t>
      </w:r>
      <w:r w:rsidRPr="004B418D">
        <w:rPr>
          <w:color w:val="000000" w:themeColor="text1"/>
          <w:sz w:val="24"/>
          <w:szCs w:val="28"/>
        </w:rPr>
        <w:t>so we can update the template for all!</w:t>
      </w:r>
    </w:p>
    <w:p w:rsidR="00F40940" w:rsidRDefault="00F40940" w:rsidP="00F40940">
      <w:pPr>
        <w:rPr>
          <w:b/>
          <w:sz w:val="32"/>
          <w:szCs w:val="32"/>
        </w:rPr>
      </w:pPr>
      <w:r w:rsidRPr="00040517">
        <w:rPr>
          <w:b/>
          <w:sz w:val="32"/>
          <w:szCs w:val="32"/>
        </w:rPr>
        <w:t>Responding to the Compensation Consultation</w:t>
      </w:r>
    </w:p>
    <w:p w:rsidR="00A8065B" w:rsidRDefault="00A8065B" w:rsidP="00A8065B">
      <w:r>
        <w:rPr>
          <w:rFonts w:ascii="Calibri" w:hAnsi="Calibri"/>
          <w:color w:val="212121"/>
          <w:shd w:val="clear" w:color="auto" w:fill="FFFFFF"/>
        </w:rPr>
        <w:t xml:space="preserve">The compensation consultation form can be used as supplied by HS2, although you are also entitled to supplement or submit your response by letter or email if you wish. See compensation </w:t>
      </w:r>
    </w:p>
    <w:p w:rsidR="00A8065B" w:rsidRPr="00040517" w:rsidRDefault="00A8065B" w:rsidP="00A8065B">
      <w:pPr>
        <w:rPr>
          <w:b/>
          <w:sz w:val="32"/>
          <w:szCs w:val="32"/>
        </w:rPr>
      </w:pPr>
      <w:hyperlink r:id="rId7" w:tgtFrame="_blank" w:history="1">
        <w:r>
          <w:rPr>
            <w:rStyle w:val="Hyperlink"/>
            <w:rFonts w:ascii="Calibri" w:hAnsi="Calibri"/>
            <w:shd w:val="clear" w:color="auto" w:fill="FFFFFF"/>
          </w:rPr>
          <w:t>https://www.gov.uk/government/consultations/hs2</w:t>
        </w:r>
        <w:bookmarkStart w:id="0" w:name="_GoBack"/>
        <w:bookmarkEnd w:id="0"/>
        <w:r>
          <w:rPr>
            <w:rStyle w:val="Hyperlink"/>
            <w:rFonts w:ascii="Calibri" w:hAnsi="Calibri"/>
            <w:shd w:val="clear" w:color="auto" w:fill="FFFFFF"/>
          </w:rPr>
          <w:t>-</w:t>
        </w:r>
        <w:r>
          <w:rPr>
            <w:rStyle w:val="Hyperlink"/>
            <w:rFonts w:ascii="Calibri" w:hAnsi="Calibri"/>
            <w:shd w:val="clear" w:color="auto" w:fill="FFFFFF"/>
          </w:rPr>
          <w:t>crewe-to-manchester-west-midlands-to-leeds-property-consultation-2016</w:t>
        </w:r>
      </w:hyperlink>
    </w:p>
    <w:tbl>
      <w:tblPr>
        <w:tblStyle w:val="TableGrid"/>
        <w:tblW w:w="15021" w:type="dxa"/>
        <w:tblLook w:val="04A0" w:firstRow="1" w:lastRow="0" w:firstColumn="1" w:lastColumn="0" w:noHBand="0" w:noVBand="1"/>
      </w:tblPr>
      <w:tblGrid>
        <w:gridCol w:w="2830"/>
        <w:gridCol w:w="12191"/>
      </w:tblGrid>
      <w:tr w:rsidR="00F40940" w:rsidTr="007C0BA6">
        <w:tc>
          <w:tcPr>
            <w:tcW w:w="2830" w:type="dxa"/>
          </w:tcPr>
          <w:p w:rsidR="00F40940" w:rsidRPr="00040517" w:rsidRDefault="00F40940" w:rsidP="007C0BA6">
            <w:pPr>
              <w:rPr>
                <w:b/>
                <w:color w:val="000000" w:themeColor="text1"/>
                <w:sz w:val="24"/>
                <w:szCs w:val="28"/>
              </w:rPr>
            </w:pPr>
            <w:r w:rsidRPr="00040517">
              <w:rPr>
                <w:b/>
                <w:color w:val="000000" w:themeColor="text1"/>
                <w:sz w:val="24"/>
                <w:szCs w:val="28"/>
              </w:rPr>
              <w:t>Where to send:</w:t>
            </w:r>
          </w:p>
        </w:tc>
        <w:tc>
          <w:tcPr>
            <w:tcW w:w="12191" w:type="dxa"/>
          </w:tcPr>
          <w:p w:rsidR="00F40940" w:rsidRDefault="00F40940" w:rsidP="007C0BA6">
            <w:pPr>
              <w:rPr>
                <w:color w:val="000000" w:themeColor="text1"/>
                <w:sz w:val="24"/>
                <w:szCs w:val="28"/>
              </w:rPr>
            </w:pPr>
            <w:r>
              <w:rPr>
                <w:color w:val="000000" w:themeColor="text1"/>
                <w:sz w:val="24"/>
                <w:szCs w:val="28"/>
              </w:rPr>
              <w:t>Property2b@dialoguebydesign.co.uk</w:t>
            </w:r>
          </w:p>
        </w:tc>
      </w:tr>
      <w:tr w:rsidR="00F40940" w:rsidTr="007C0BA6">
        <w:tc>
          <w:tcPr>
            <w:tcW w:w="2830" w:type="dxa"/>
          </w:tcPr>
          <w:p w:rsidR="00F40940" w:rsidRPr="00040517" w:rsidRDefault="00F40940" w:rsidP="007C0BA6">
            <w:pPr>
              <w:rPr>
                <w:b/>
                <w:color w:val="000000" w:themeColor="text1"/>
                <w:sz w:val="24"/>
                <w:szCs w:val="28"/>
              </w:rPr>
            </w:pPr>
            <w:r w:rsidRPr="00040517">
              <w:rPr>
                <w:b/>
                <w:color w:val="000000" w:themeColor="text1"/>
                <w:sz w:val="24"/>
                <w:szCs w:val="28"/>
              </w:rPr>
              <w:t>Subject / Email Title:</w:t>
            </w:r>
          </w:p>
        </w:tc>
        <w:tc>
          <w:tcPr>
            <w:tcW w:w="12191" w:type="dxa"/>
          </w:tcPr>
          <w:p w:rsidR="00F40940" w:rsidRPr="00516CC8" w:rsidRDefault="00F40940" w:rsidP="00516CC8">
            <w:pPr>
              <w:pStyle w:val="Heading1"/>
              <w:shd w:val="clear" w:color="auto" w:fill="FFFFFF"/>
              <w:spacing w:before="0" w:beforeAutospacing="0" w:after="0" w:afterAutospacing="0"/>
              <w:textAlignment w:val="baseline"/>
              <w:outlineLvl w:val="0"/>
              <w:rPr>
                <w:rFonts w:asciiTheme="minorHAnsi" w:eastAsiaTheme="minorHAnsi" w:hAnsiTheme="minorHAnsi" w:cstheme="minorBidi"/>
                <w:b w:val="0"/>
                <w:bCs w:val="0"/>
                <w:color w:val="000000" w:themeColor="text1"/>
                <w:kern w:val="0"/>
                <w:sz w:val="24"/>
                <w:szCs w:val="28"/>
                <w:lang w:eastAsia="en-US"/>
              </w:rPr>
            </w:pPr>
            <w:r w:rsidRPr="00A74EDC">
              <w:rPr>
                <w:rFonts w:asciiTheme="minorHAnsi" w:eastAsiaTheme="minorHAnsi" w:hAnsiTheme="minorHAnsi" w:cstheme="minorBidi"/>
                <w:b w:val="0"/>
                <w:bCs w:val="0"/>
                <w:color w:val="000000" w:themeColor="text1"/>
                <w:kern w:val="0"/>
                <w:sz w:val="24"/>
                <w:szCs w:val="28"/>
                <w:lang w:eastAsia="en-US"/>
              </w:rPr>
              <w:t xml:space="preserve">Feedback for Property Consultation 2016 – </w:t>
            </w:r>
            <w:r w:rsidR="00A74EDC" w:rsidRPr="00A74EDC">
              <w:rPr>
                <w:rFonts w:asciiTheme="minorHAnsi" w:eastAsiaTheme="minorHAnsi" w:hAnsiTheme="minorHAnsi" w:cstheme="minorBidi"/>
                <w:b w:val="0"/>
                <w:bCs w:val="0"/>
                <w:color w:val="000000" w:themeColor="text1"/>
                <w:kern w:val="0"/>
                <w:sz w:val="24"/>
                <w:szCs w:val="28"/>
                <w:lang w:eastAsia="en-US"/>
              </w:rPr>
              <w:t>HS2 Phase Two: from the West Midlands to Leeds</w:t>
            </w:r>
            <w:r w:rsidR="00A74EDC">
              <w:rPr>
                <w:rFonts w:asciiTheme="minorHAnsi" w:eastAsiaTheme="minorHAnsi" w:hAnsiTheme="minorHAnsi" w:cstheme="minorBidi"/>
                <w:b w:val="0"/>
                <w:bCs w:val="0"/>
                <w:color w:val="000000" w:themeColor="text1"/>
                <w:kern w:val="0"/>
                <w:sz w:val="24"/>
                <w:szCs w:val="28"/>
                <w:lang w:eastAsia="en-US"/>
              </w:rPr>
              <w:t xml:space="preserve"> (Specificall</w:t>
            </w:r>
            <w:r w:rsidR="003E3DC3">
              <w:rPr>
                <w:rFonts w:asciiTheme="minorHAnsi" w:eastAsiaTheme="minorHAnsi" w:hAnsiTheme="minorHAnsi" w:cstheme="minorBidi"/>
                <w:b w:val="0"/>
                <w:bCs w:val="0"/>
                <w:color w:val="000000" w:themeColor="text1"/>
                <w:kern w:val="0"/>
                <w:sz w:val="24"/>
                <w:szCs w:val="28"/>
                <w:lang w:eastAsia="en-US"/>
              </w:rPr>
              <w:t>y the Methley / Woodlesford / Sw</w:t>
            </w:r>
            <w:r w:rsidR="00A74EDC">
              <w:rPr>
                <w:rFonts w:asciiTheme="minorHAnsi" w:eastAsiaTheme="minorHAnsi" w:hAnsiTheme="minorHAnsi" w:cstheme="minorBidi"/>
                <w:b w:val="0"/>
                <w:bCs w:val="0"/>
                <w:color w:val="000000" w:themeColor="text1"/>
                <w:kern w:val="0"/>
                <w:sz w:val="24"/>
                <w:szCs w:val="28"/>
                <w:lang w:eastAsia="en-US"/>
              </w:rPr>
              <w:t xml:space="preserve">illington area) </w:t>
            </w:r>
          </w:p>
        </w:tc>
      </w:tr>
      <w:tr w:rsidR="00F40940" w:rsidTr="007C0BA6">
        <w:tc>
          <w:tcPr>
            <w:tcW w:w="2830" w:type="dxa"/>
          </w:tcPr>
          <w:p w:rsidR="00F40940" w:rsidRPr="00040517" w:rsidRDefault="00F40940" w:rsidP="007C0BA6">
            <w:pPr>
              <w:rPr>
                <w:b/>
                <w:color w:val="000000" w:themeColor="text1"/>
                <w:sz w:val="24"/>
                <w:szCs w:val="28"/>
              </w:rPr>
            </w:pPr>
            <w:r w:rsidRPr="00040517">
              <w:rPr>
                <w:b/>
                <w:color w:val="000000" w:themeColor="text1"/>
                <w:sz w:val="24"/>
                <w:szCs w:val="28"/>
              </w:rPr>
              <w:t>Full Name (otherwise response will not be included)</w:t>
            </w:r>
            <w:r>
              <w:rPr>
                <w:b/>
                <w:color w:val="000000" w:themeColor="text1"/>
                <w:sz w:val="24"/>
                <w:szCs w:val="28"/>
              </w:rPr>
              <w:t>:</w:t>
            </w:r>
          </w:p>
        </w:tc>
        <w:tc>
          <w:tcPr>
            <w:tcW w:w="12191" w:type="dxa"/>
          </w:tcPr>
          <w:p w:rsidR="00F40940" w:rsidRDefault="00F40940" w:rsidP="007C0BA6">
            <w:pPr>
              <w:rPr>
                <w:color w:val="000000" w:themeColor="text1"/>
                <w:sz w:val="24"/>
                <w:szCs w:val="28"/>
              </w:rPr>
            </w:pPr>
          </w:p>
        </w:tc>
      </w:tr>
      <w:tr w:rsidR="00F40940" w:rsidTr="007C0BA6">
        <w:tc>
          <w:tcPr>
            <w:tcW w:w="2830" w:type="dxa"/>
          </w:tcPr>
          <w:p w:rsidR="00F40940" w:rsidRPr="00040517" w:rsidRDefault="00F40940" w:rsidP="007C0BA6">
            <w:pPr>
              <w:rPr>
                <w:b/>
                <w:color w:val="000000" w:themeColor="text1"/>
                <w:sz w:val="24"/>
                <w:szCs w:val="28"/>
              </w:rPr>
            </w:pPr>
            <w:r w:rsidRPr="00040517">
              <w:rPr>
                <w:b/>
                <w:color w:val="000000" w:themeColor="text1"/>
                <w:sz w:val="24"/>
                <w:szCs w:val="28"/>
              </w:rPr>
              <w:t>Address</w:t>
            </w:r>
            <w:r>
              <w:rPr>
                <w:b/>
                <w:color w:val="000000" w:themeColor="text1"/>
                <w:sz w:val="24"/>
                <w:szCs w:val="28"/>
              </w:rPr>
              <w:t>:</w:t>
            </w:r>
          </w:p>
        </w:tc>
        <w:tc>
          <w:tcPr>
            <w:tcW w:w="12191" w:type="dxa"/>
          </w:tcPr>
          <w:p w:rsidR="00F40940" w:rsidRPr="002D7C7F" w:rsidRDefault="00F40940" w:rsidP="007C0BA6">
            <w:pPr>
              <w:rPr>
                <w:color w:val="000000" w:themeColor="text1"/>
                <w:sz w:val="24"/>
                <w:szCs w:val="28"/>
                <w:highlight w:val="yellow"/>
              </w:rPr>
            </w:pPr>
          </w:p>
        </w:tc>
      </w:tr>
      <w:tr w:rsidR="00F40940" w:rsidTr="007C0BA6">
        <w:tc>
          <w:tcPr>
            <w:tcW w:w="2830" w:type="dxa"/>
          </w:tcPr>
          <w:p w:rsidR="00F40940" w:rsidRPr="00040517" w:rsidRDefault="00F40940" w:rsidP="007C0BA6">
            <w:pPr>
              <w:rPr>
                <w:b/>
                <w:color w:val="000000" w:themeColor="text1"/>
                <w:sz w:val="24"/>
                <w:szCs w:val="28"/>
              </w:rPr>
            </w:pPr>
            <w:r w:rsidRPr="00040517">
              <w:rPr>
                <w:b/>
                <w:color w:val="000000" w:themeColor="text1"/>
                <w:sz w:val="24"/>
                <w:szCs w:val="28"/>
              </w:rPr>
              <w:t>Post code</w:t>
            </w:r>
            <w:r>
              <w:rPr>
                <w:b/>
                <w:color w:val="000000" w:themeColor="text1"/>
                <w:sz w:val="24"/>
                <w:szCs w:val="28"/>
              </w:rPr>
              <w:t>:</w:t>
            </w:r>
          </w:p>
        </w:tc>
        <w:tc>
          <w:tcPr>
            <w:tcW w:w="12191" w:type="dxa"/>
          </w:tcPr>
          <w:p w:rsidR="00F40940" w:rsidRPr="002D7C7F" w:rsidRDefault="00F40940" w:rsidP="007C0BA6">
            <w:pPr>
              <w:rPr>
                <w:color w:val="000000" w:themeColor="text1"/>
                <w:sz w:val="24"/>
                <w:szCs w:val="28"/>
                <w:highlight w:val="yellow"/>
              </w:rPr>
            </w:pPr>
          </w:p>
        </w:tc>
      </w:tr>
      <w:tr w:rsidR="00F40940" w:rsidTr="007C0BA6">
        <w:tc>
          <w:tcPr>
            <w:tcW w:w="2830" w:type="dxa"/>
          </w:tcPr>
          <w:p w:rsidR="00F40940" w:rsidRPr="00040517" w:rsidRDefault="00F40940" w:rsidP="007C0BA6">
            <w:pPr>
              <w:rPr>
                <w:b/>
                <w:color w:val="000000" w:themeColor="text1"/>
                <w:sz w:val="24"/>
                <w:szCs w:val="28"/>
              </w:rPr>
            </w:pPr>
            <w:r w:rsidRPr="00040517">
              <w:rPr>
                <w:b/>
                <w:color w:val="000000" w:themeColor="text1"/>
                <w:sz w:val="24"/>
                <w:szCs w:val="28"/>
              </w:rPr>
              <w:t>Email</w:t>
            </w:r>
            <w:r>
              <w:rPr>
                <w:b/>
                <w:color w:val="000000" w:themeColor="text1"/>
                <w:sz w:val="24"/>
                <w:szCs w:val="28"/>
              </w:rPr>
              <w:t>:</w:t>
            </w:r>
          </w:p>
        </w:tc>
        <w:tc>
          <w:tcPr>
            <w:tcW w:w="12191" w:type="dxa"/>
          </w:tcPr>
          <w:p w:rsidR="00F40940" w:rsidRPr="002D7C7F" w:rsidRDefault="00F40940" w:rsidP="007C0BA6">
            <w:pPr>
              <w:rPr>
                <w:color w:val="000000" w:themeColor="text1"/>
                <w:sz w:val="24"/>
                <w:szCs w:val="28"/>
                <w:highlight w:val="yellow"/>
              </w:rPr>
            </w:pPr>
          </w:p>
        </w:tc>
      </w:tr>
      <w:tr w:rsidR="00F40940" w:rsidTr="007C0BA6">
        <w:tc>
          <w:tcPr>
            <w:tcW w:w="2830" w:type="dxa"/>
          </w:tcPr>
          <w:p w:rsidR="00F40940" w:rsidRPr="002D7C7F" w:rsidRDefault="00F40940" w:rsidP="007C0BA6">
            <w:pPr>
              <w:rPr>
                <w:b/>
                <w:color w:val="000000" w:themeColor="text1"/>
                <w:sz w:val="24"/>
                <w:szCs w:val="28"/>
              </w:rPr>
            </w:pPr>
            <w:r w:rsidRPr="002D7C7F">
              <w:rPr>
                <w:b/>
                <w:color w:val="000000" w:themeColor="text1"/>
                <w:sz w:val="24"/>
                <w:szCs w:val="28"/>
              </w:rPr>
              <w:t>Question on the</w:t>
            </w:r>
            <w:r>
              <w:rPr>
                <w:b/>
                <w:color w:val="000000" w:themeColor="text1"/>
                <w:sz w:val="24"/>
                <w:szCs w:val="28"/>
              </w:rPr>
              <w:t xml:space="preserve"> HS2 Phase 2b</w:t>
            </w:r>
            <w:r w:rsidRPr="002D7C7F">
              <w:rPr>
                <w:b/>
                <w:color w:val="000000" w:themeColor="text1"/>
                <w:sz w:val="24"/>
                <w:szCs w:val="28"/>
              </w:rPr>
              <w:t xml:space="preserve"> feedback form:</w:t>
            </w:r>
          </w:p>
        </w:tc>
        <w:tc>
          <w:tcPr>
            <w:tcW w:w="12191" w:type="dxa"/>
          </w:tcPr>
          <w:p w:rsidR="00F40940" w:rsidRPr="002D7C7F" w:rsidRDefault="00F40940" w:rsidP="007C0BA6">
            <w:pPr>
              <w:rPr>
                <w:b/>
                <w:color w:val="000000" w:themeColor="text1"/>
                <w:sz w:val="24"/>
                <w:szCs w:val="28"/>
              </w:rPr>
            </w:pPr>
            <w:r w:rsidRPr="002D7C7F">
              <w:rPr>
                <w:b/>
                <w:color w:val="000000" w:themeColor="text1"/>
                <w:sz w:val="24"/>
                <w:szCs w:val="28"/>
              </w:rPr>
              <w:t>Example items to include in response</w:t>
            </w:r>
          </w:p>
        </w:tc>
      </w:tr>
      <w:tr w:rsidR="00F40940" w:rsidTr="007C0BA6">
        <w:tc>
          <w:tcPr>
            <w:tcW w:w="2830" w:type="dxa"/>
          </w:tcPr>
          <w:p w:rsidR="00F40940" w:rsidRPr="00615E68" w:rsidRDefault="00F40940" w:rsidP="007C0BA6">
            <w:pPr>
              <w:rPr>
                <w:b/>
                <w:color w:val="000000" w:themeColor="text1"/>
                <w:sz w:val="24"/>
                <w:szCs w:val="28"/>
              </w:rPr>
            </w:pPr>
            <w:r w:rsidRPr="00615E68">
              <w:rPr>
                <w:b/>
                <w:color w:val="000000" w:themeColor="text1"/>
                <w:sz w:val="24"/>
                <w:szCs w:val="28"/>
              </w:rPr>
              <w:t>Question 1:</w:t>
            </w:r>
          </w:p>
          <w:p w:rsidR="00F40940" w:rsidRDefault="00F40940" w:rsidP="007C0BA6">
            <w:pPr>
              <w:rPr>
                <w:color w:val="000000" w:themeColor="text1"/>
                <w:sz w:val="24"/>
                <w:szCs w:val="28"/>
              </w:rPr>
            </w:pPr>
            <w:r w:rsidRPr="002D7C7F">
              <w:rPr>
                <w:color w:val="000000" w:themeColor="text1"/>
                <w:sz w:val="24"/>
                <w:szCs w:val="28"/>
              </w:rPr>
              <w:t>Are there any factors which you think should be considered to make the proposed schemes more suitable for the preferred Phase 2b section of HS2?</w:t>
            </w:r>
          </w:p>
          <w:p w:rsidR="00F40940" w:rsidRDefault="00F40940" w:rsidP="007C0BA6">
            <w:pPr>
              <w:rPr>
                <w:color w:val="000000" w:themeColor="text1"/>
                <w:sz w:val="24"/>
                <w:szCs w:val="28"/>
              </w:rPr>
            </w:pPr>
          </w:p>
          <w:p w:rsidR="00F40940" w:rsidRDefault="00F40940" w:rsidP="007C0BA6">
            <w:pPr>
              <w:rPr>
                <w:color w:val="000000" w:themeColor="text1"/>
                <w:sz w:val="24"/>
                <w:szCs w:val="28"/>
              </w:rPr>
            </w:pPr>
            <w:r w:rsidRPr="002D7C7F">
              <w:rPr>
                <w:color w:val="000000" w:themeColor="text1"/>
                <w:sz w:val="24"/>
                <w:szCs w:val="28"/>
              </w:rPr>
              <w:lastRenderedPageBreak/>
              <w:t>Can you suggest any ideas you may have to improve the package of compensation and assistance schemes for the preferred Phase 2b section of HS2?</w:t>
            </w:r>
          </w:p>
        </w:tc>
        <w:tc>
          <w:tcPr>
            <w:tcW w:w="12191" w:type="dxa"/>
          </w:tcPr>
          <w:p w:rsidR="00F40940" w:rsidRPr="006C346D" w:rsidRDefault="00F40940" w:rsidP="00F40940">
            <w:pPr>
              <w:pStyle w:val="ListParagraph"/>
              <w:numPr>
                <w:ilvl w:val="0"/>
                <w:numId w:val="1"/>
              </w:numPr>
              <w:ind w:left="360"/>
              <w:rPr>
                <w:color w:val="000000" w:themeColor="text1"/>
                <w:sz w:val="24"/>
                <w:szCs w:val="28"/>
              </w:rPr>
            </w:pPr>
            <w:r>
              <w:rPr>
                <w:color w:val="000000" w:themeColor="text1"/>
                <w:sz w:val="24"/>
                <w:szCs w:val="28"/>
              </w:rPr>
              <w:lastRenderedPageBreak/>
              <w:t xml:space="preserve">We/ I live in </w:t>
            </w:r>
            <w:r w:rsidRPr="006C346D">
              <w:rPr>
                <w:color w:val="000000" w:themeColor="text1"/>
                <w:sz w:val="24"/>
                <w:szCs w:val="28"/>
              </w:rPr>
              <w:t>close proximity to the tunnel entrance</w:t>
            </w:r>
            <w:r>
              <w:rPr>
                <w:color w:val="000000" w:themeColor="text1"/>
                <w:sz w:val="24"/>
                <w:szCs w:val="28"/>
              </w:rPr>
              <w:t xml:space="preserve">/exit that has been added since the route was revised, and </w:t>
            </w:r>
            <w:r w:rsidRPr="006C346D">
              <w:rPr>
                <w:color w:val="000000" w:themeColor="text1"/>
                <w:sz w:val="24"/>
                <w:szCs w:val="28"/>
              </w:rPr>
              <w:t>the compensati</w:t>
            </w:r>
            <w:r>
              <w:rPr>
                <w:color w:val="000000" w:themeColor="text1"/>
                <w:sz w:val="24"/>
                <w:szCs w:val="28"/>
              </w:rPr>
              <w:t xml:space="preserve">on scheme doesn’t cover this. The schemes </w:t>
            </w:r>
            <w:proofErr w:type="gramStart"/>
            <w:r>
              <w:rPr>
                <w:color w:val="000000" w:themeColor="text1"/>
                <w:sz w:val="24"/>
                <w:szCs w:val="28"/>
              </w:rPr>
              <w:t>looks</w:t>
            </w:r>
            <w:proofErr w:type="gramEnd"/>
            <w:r>
              <w:rPr>
                <w:color w:val="000000" w:themeColor="text1"/>
                <w:sz w:val="24"/>
                <w:szCs w:val="28"/>
              </w:rPr>
              <w:t xml:space="preserve"> </w:t>
            </w:r>
            <w:r w:rsidRPr="006C346D">
              <w:rPr>
                <w:color w:val="000000" w:themeColor="text1"/>
                <w:sz w:val="24"/>
                <w:szCs w:val="28"/>
              </w:rPr>
              <w:t>specifically set to only offer payments to those within the bandings of the home owner payments scheme, and the rural support zone. This seems very unfair, and illogical. A solution to this would be to use a radius from where the trains w</w:t>
            </w:r>
            <w:r w:rsidR="00A74EDC">
              <w:rPr>
                <w:color w:val="000000" w:themeColor="text1"/>
                <w:sz w:val="24"/>
                <w:szCs w:val="28"/>
              </w:rPr>
              <w:t>ill enter, and exit the tunnel.</w:t>
            </w:r>
          </w:p>
          <w:p w:rsidR="00F40940" w:rsidRPr="006E5DCA" w:rsidRDefault="00F40940" w:rsidP="007C0BA6">
            <w:pPr>
              <w:rPr>
                <w:color w:val="000000" w:themeColor="text1"/>
                <w:sz w:val="24"/>
                <w:szCs w:val="28"/>
              </w:rPr>
            </w:pPr>
          </w:p>
          <w:p w:rsidR="00F40940" w:rsidRPr="006C346D" w:rsidRDefault="00F40940" w:rsidP="00F40940">
            <w:pPr>
              <w:pStyle w:val="ListParagraph"/>
              <w:numPr>
                <w:ilvl w:val="0"/>
                <w:numId w:val="1"/>
              </w:numPr>
              <w:ind w:left="360"/>
              <w:rPr>
                <w:color w:val="000000" w:themeColor="text1"/>
                <w:sz w:val="24"/>
                <w:szCs w:val="28"/>
              </w:rPr>
            </w:pPr>
            <w:r>
              <w:rPr>
                <w:color w:val="000000" w:themeColor="text1"/>
                <w:sz w:val="24"/>
                <w:szCs w:val="28"/>
              </w:rPr>
              <w:t>Properties</w:t>
            </w:r>
            <w:r w:rsidRPr="006C346D">
              <w:rPr>
                <w:color w:val="000000" w:themeColor="text1"/>
                <w:sz w:val="24"/>
                <w:szCs w:val="28"/>
              </w:rPr>
              <w:t xml:space="preserve"> around the</w:t>
            </w:r>
            <w:r>
              <w:rPr>
                <w:color w:val="000000" w:themeColor="text1"/>
                <w:sz w:val="24"/>
                <w:szCs w:val="28"/>
              </w:rPr>
              <w:t xml:space="preserve"> tunnel</w:t>
            </w:r>
            <w:r w:rsidRPr="006C346D">
              <w:rPr>
                <w:color w:val="000000" w:themeColor="text1"/>
                <w:sz w:val="24"/>
                <w:szCs w:val="28"/>
              </w:rPr>
              <w:t xml:space="preserve"> entrance, and exits will experience high levels</w:t>
            </w:r>
            <w:r>
              <w:rPr>
                <w:color w:val="000000" w:themeColor="text1"/>
                <w:sz w:val="24"/>
                <w:szCs w:val="28"/>
              </w:rPr>
              <w:t xml:space="preserve"> of blight both in construction</w:t>
            </w:r>
            <w:r w:rsidRPr="006C346D">
              <w:rPr>
                <w:color w:val="000000" w:themeColor="text1"/>
                <w:sz w:val="24"/>
                <w:szCs w:val="28"/>
              </w:rPr>
              <w:t>, and th</w:t>
            </w:r>
            <w:r>
              <w:rPr>
                <w:color w:val="000000" w:themeColor="text1"/>
                <w:sz w:val="24"/>
                <w:szCs w:val="28"/>
              </w:rPr>
              <w:t>en once the line is operational. T</w:t>
            </w:r>
            <w:r w:rsidRPr="006C346D">
              <w:rPr>
                <w:color w:val="000000" w:themeColor="text1"/>
                <w:sz w:val="24"/>
                <w:szCs w:val="28"/>
              </w:rPr>
              <w:t>here seems to have been little thought on this, and a full review on how compensation will be worked out</w:t>
            </w:r>
            <w:r>
              <w:rPr>
                <w:color w:val="000000" w:themeColor="text1"/>
                <w:sz w:val="24"/>
                <w:szCs w:val="28"/>
              </w:rPr>
              <w:t xml:space="preserve"> is required</w:t>
            </w:r>
            <w:r w:rsidRPr="006C346D">
              <w:rPr>
                <w:color w:val="000000" w:themeColor="text1"/>
                <w:sz w:val="24"/>
                <w:szCs w:val="28"/>
              </w:rPr>
              <w:t>. This was acknowledged at the recent HS2 ‘road show’ on Rothwell on the 20</w:t>
            </w:r>
            <w:r w:rsidRPr="006C346D">
              <w:rPr>
                <w:color w:val="000000" w:themeColor="text1"/>
                <w:sz w:val="24"/>
                <w:szCs w:val="28"/>
                <w:vertAlign w:val="superscript"/>
              </w:rPr>
              <w:t>th</w:t>
            </w:r>
            <w:r w:rsidRPr="006C346D">
              <w:rPr>
                <w:color w:val="000000" w:themeColor="text1"/>
                <w:sz w:val="24"/>
                <w:szCs w:val="28"/>
              </w:rPr>
              <w:t xml:space="preserve"> Jan 2017 </w:t>
            </w:r>
            <w:r w:rsidRPr="006C346D">
              <w:rPr>
                <w:color w:val="000000" w:themeColor="text1"/>
                <w:sz w:val="24"/>
                <w:szCs w:val="28"/>
              </w:rPr>
              <w:lastRenderedPageBreak/>
              <w:t xml:space="preserve">by various HS2 delegates. Specifically, </w:t>
            </w:r>
            <w:r w:rsidRPr="00E717B3">
              <w:rPr>
                <w:color w:val="000000" w:themeColor="text1"/>
                <w:sz w:val="24"/>
                <w:szCs w:val="28"/>
              </w:rPr>
              <w:t>Ste</w:t>
            </w:r>
            <w:r w:rsidR="00E717B3" w:rsidRPr="00E717B3">
              <w:rPr>
                <w:color w:val="000000" w:themeColor="text1"/>
                <w:sz w:val="24"/>
                <w:szCs w:val="28"/>
              </w:rPr>
              <w:t>phen</w:t>
            </w:r>
            <w:r w:rsidRPr="00E717B3">
              <w:rPr>
                <w:color w:val="000000" w:themeColor="text1"/>
                <w:sz w:val="24"/>
                <w:szCs w:val="28"/>
              </w:rPr>
              <w:t xml:space="preserve"> Milburn </w:t>
            </w:r>
            <w:r w:rsidR="00E717B3">
              <w:rPr>
                <w:color w:val="000000" w:themeColor="text1"/>
                <w:sz w:val="24"/>
                <w:szCs w:val="28"/>
              </w:rPr>
              <w:t xml:space="preserve">(Project Manager - Safeguarding </w:t>
            </w:r>
            <w:r w:rsidR="00E717B3" w:rsidRPr="00E717B3">
              <w:rPr>
                <w:color w:val="000000" w:themeColor="text1"/>
                <w:sz w:val="24"/>
                <w:szCs w:val="28"/>
              </w:rPr>
              <w:t>HS2)</w:t>
            </w:r>
            <w:r w:rsidR="00E717B3">
              <w:rPr>
                <w:color w:val="000000" w:themeColor="text1"/>
                <w:sz w:val="24"/>
                <w:szCs w:val="28"/>
              </w:rPr>
              <w:t xml:space="preserve"> said we should reference him, and that he along with other HS2 staff felt the compensation wasn’t adequate for the level of blight being caused by Hs2.</w:t>
            </w:r>
          </w:p>
          <w:p w:rsidR="00F40940" w:rsidRPr="006E5DCA" w:rsidRDefault="00F40940" w:rsidP="007C0BA6">
            <w:pPr>
              <w:rPr>
                <w:color w:val="000000" w:themeColor="text1"/>
                <w:sz w:val="24"/>
                <w:szCs w:val="28"/>
              </w:rPr>
            </w:pPr>
          </w:p>
          <w:p w:rsidR="00F40940" w:rsidRPr="006C346D" w:rsidRDefault="00F40940" w:rsidP="00F40940">
            <w:pPr>
              <w:pStyle w:val="ListParagraph"/>
              <w:numPr>
                <w:ilvl w:val="0"/>
                <w:numId w:val="1"/>
              </w:numPr>
              <w:ind w:left="360"/>
              <w:rPr>
                <w:color w:val="000000" w:themeColor="text1"/>
                <w:sz w:val="24"/>
                <w:szCs w:val="28"/>
              </w:rPr>
            </w:pPr>
            <w:r>
              <w:rPr>
                <w:color w:val="000000" w:themeColor="text1"/>
                <w:sz w:val="24"/>
                <w:szCs w:val="28"/>
              </w:rPr>
              <w:t>Our/My house will be directly above the newly proposed tunnel. We/I feel e</w:t>
            </w:r>
            <w:r w:rsidRPr="006C346D">
              <w:rPr>
                <w:color w:val="000000" w:themeColor="text1"/>
                <w:sz w:val="24"/>
                <w:szCs w:val="28"/>
              </w:rPr>
              <w:t>ligibility should be reconsidered for addition</w:t>
            </w:r>
            <w:r>
              <w:rPr>
                <w:color w:val="000000" w:themeColor="text1"/>
                <w:sz w:val="24"/>
                <w:szCs w:val="28"/>
              </w:rPr>
              <w:t>al</w:t>
            </w:r>
            <w:r w:rsidRPr="006C346D">
              <w:rPr>
                <w:color w:val="000000" w:themeColor="text1"/>
                <w:sz w:val="24"/>
                <w:szCs w:val="28"/>
              </w:rPr>
              <w:t xml:space="preserve"> compensation above the purchase of subsoil rights for those properties directly above the tunnel, especially where the tunnel is not at its deepest passing under properties.</w:t>
            </w:r>
          </w:p>
          <w:p w:rsidR="00F40940" w:rsidRDefault="00F40940" w:rsidP="007C0BA6">
            <w:pPr>
              <w:rPr>
                <w:color w:val="000000" w:themeColor="text1"/>
                <w:sz w:val="24"/>
                <w:szCs w:val="28"/>
              </w:rPr>
            </w:pPr>
          </w:p>
          <w:p w:rsidR="00F40940" w:rsidRPr="006C346D" w:rsidRDefault="00F40940" w:rsidP="00F40940">
            <w:pPr>
              <w:pStyle w:val="ListParagraph"/>
              <w:numPr>
                <w:ilvl w:val="0"/>
                <w:numId w:val="1"/>
              </w:numPr>
              <w:ind w:left="360"/>
              <w:rPr>
                <w:color w:val="000000" w:themeColor="text1"/>
                <w:sz w:val="24"/>
                <w:szCs w:val="28"/>
              </w:rPr>
            </w:pPr>
            <w:r>
              <w:rPr>
                <w:color w:val="000000" w:themeColor="text1"/>
                <w:sz w:val="24"/>
                <w:szCs w:val="28"/>
              </w:rPr>
              <w:t>We/I understand that d</w:t>
            </w:r>
            <w:r w:rsidRPr="006C346D">
              <w:rPr>
                <w:color w:val="000000" w:themeColor="text1"/>
                <w:sz w:val="24"/>
                <w:szCs w:val="28"/>
              </w:rPr>
              <w:t xml:space="preserve">ue to the length of the tunnel, there will need to be safety entrances, if these need to be located anywhere near properties this should be compensated for. </w:t>
            </w:r>
          </w:p>
          <w:p w:rsidR="00F40940" w:rsidRPr="006E5DCA" w:rsidRDefault="00F40940" w:rsidP="007C0BA6">
            <w:pPr>
              <w:rPr>
                <w:color w:val="000000" w:themeColor="text1"/>
                <w:sz w:val="24"/>
                <w:szCs w:val="28"/>
              </w:rPr>
            </w:pPr>
          </w:p>
          <w:p w:rsidR="00F40940" w:rsidRPr="006C346D" w:rsidRDefault="00F40940" w:rsidP="00F40940">
            <w:pPr>
              <w:pStyle w:val="ListParagraph"/>
              <w:numPr>
                <w:ilvl w:val="0"/>
                <w:numId w:val="1"/>
              </w:numPr>
              <w:ind w:left="360"/>
              <w:rPr>
                <w:color w:val="000000" w:themeColor="text1"/>
                <w:sz w:val="24"/>
                <w:szCs w:val="28"/>
              </w:rPr>
            </w:pPr>
            <w:r w:rsidRPr="006C346D">
              <w:rPr>
                <w:color w:val="000000" w:themeColor="text1"/>
                <w:sz w:val="24"/>
                <w:szCs w:val="28"/>
              </w:rPr>
              <w:t xml:space="preserve">Whilst its mentioned about the before and after surveys for properties above deep tunnels that are considered to be at greatest risk of settlement, </w:t>
            </w:r>
            <w:r>
              <w:rPr>
                <w:color w:val="000000" w:themeColor="text1"/>
                <w:sz w:val="24"/>
                <w:szCs w:val="28"/>
              </w:rPr>
              <w:t xml:space="preserve">we/I feel this </w:t>
            </w:r>
            <w:r w:rsidRPr="006C346D">
              <w:rPr>
                <w:color w:val="000000" w:themeColor="text1"/>
                <w:sz w:val="24"/>
                <w:szCs w:val="28"/>
              </w:rPr>
              <w:t xml:space="preserve">should also be applicable to properties adjacent to tunnel entrance and exits. This is of specific concern to those in the Woodlesford area due to the geology </w:t>
            </w:r>
            <w:r>
              <w:rPr>
                <w:color w:val="000000" w:themeColor="text1"/>
                <w:sz w:val="24"/>
                <w:szCs w:val="28"/>
              </w:rPr>
              <w:t>of the area the tunnel is being proposed to going through.</w:t>
            </w:r>
          </w:p>
          <w:p w:rsidR="00F40940" w:rsidRPr="006E5DCA" w:rsidRDefault="00F40940" w:rsidP="007C0BA6">
            <w:pPr>
              <w:rPr>
                <w:color w:val="000000" w:themeColor="text1"/>
                <w:sz w:val="24"/>
                <w:szCs w:val="28"/>
              </w:rPr>
            </w:pPr>
          </w:p>
          <w:p w:rsidR="00F40940" w:rsidRPr="006C346D" w:rsidRDefault="00F40940" w:rsidP="00F40940">
            <w:pPr>
              <w:pStyle w:val="ListParagraph"/>
              <w:numPr>
                <w:ilvl w:val="0"/>
                <w:numId w:val="1"/>
              </w:numPr>
              <w:ind w:left="360"/>
              <w:rPr>
                <w:color w:val="000000" w:themeColor="text1"/>
                <w:sz w:val="24"/>
                <w:szCs w:val="28"/>
              </w:rPr>
            </w:pPr>
            <w:r w:rsidRPr="006C346D">
              <w:rPr>
                <w:color w:val="000000" w:themeColor="text1"/>
                <w:sz w:val="24"/>
                <w:szCs w:val="28"/>
              </w:rPr>
              <w:t>Settlement deeds, and reimbursement for any damage t</w:t>
            </w:r>
            <w:r>
              <w:rPr>
                <w:color w:val="000000" w:themeColor="text1"/>
                <w:sz w:val="24"/>
                <w:szCs w:val="28"/>
              </w:rPr>
              <w:t>o properties caused by HS2 seem</w:t>
            </w:r>
            <w:r w:rsidRPr="006C346D">
              <w:rPr>
                <w:color w:val="000000" w:themeColor="text1"/>
                <w:sz w:val="24"/>
                <w:szCs w:val="28"/>
              </w:rPr>
              <w:t xml:space="preserve"> to only be available to those above the tunnel, </w:t>
            </w:r>
            <w:r>
              <w:rPr>
                <w:color w:val="000000" w:themeColor="text1"/>
                <w:sz w:val="24"/>
                <w:szCs w:val="28"/>
              </w:rPr>
              <w:t xml:space="preserve">We/I feel </w:t>
            </w:r>
            <w:r w:rsidRPr="006C346D">
              <w:rPr>
                <w:color w:val="000000" w:themeColor="text1"/>
                <w:sz w:val="24"/>
                <w:szCs w:val="28"/>
              </w:rPr>
              <w:t>this should also be extended to those adjacent to tunnel entrance, and exit.</w:t>
            </w:r>
          </w:p>
        </w:tc>
      </w:tr>
      <w:tr w:rsidR="00206EBB" w:rsidTr="007C0BA6">
        <w:tc>
          <w:tcPr>
            <w:tcW w:w="2830" w:type="dxa"/>
          </w:tcPr>
          <w:p w:rsidR="00206EBB" w:rsidRDefault="00206EBB" w:rsidP="00206EBB">
            <w:pPr>
              <w:rPr>
                <w:color w:val="000000" w:themeColor="text1"/>
                <w:sz w:val="24"/>
                <w:szCs w:val="28"/>
              </w:rPr>
            </w:pPr>
            <w:r w:rsidRPr="00615E68">
              <w:rPr>
                <w:b/>
                <w:color w:val="000000" w:themeColor="text1"/>
                <w:sz w:val="24"/>
                <w:szCs w:val="28"/>
              </w:rPr>
              <w:lastRenderedPageBreak/>
              <w:t>Question 2a:</w:t>
            </w:r>
            <w:r>
              <w:rPr>
                <w:color w:val="000000" w:themeColor="text1"/>
                <w:sz w:val="24"/>
                <w:szCs w:val="28"/>
              </w:rPr>
              <w:t xml:space="preserve"> What are your views on the proposed boundary of the RSZ </w:t>
            </w:r>
            <w:proofErr w:type="spellStart"/>
            <w:r>
              <w:rPr>
                <w:color w:val="000000" w:themeColor="text1"/>
                <w:sz w:val="24"/>
                <w:szCs w:val="28"/>
              </w:rPr>
              <w:t>sout</w:t>
            </w:r>
            <w:proofErr w:type="spellEnd"/>
            <w:r>
              <w:rPr>
                <w:color w:val="000000" w:themeColor="text1"/>
                <w:sz w:val="24"/>
                <w:szCs w:val="28"/>
              </w:rPr>
              <w:t xml:space="preserve"> east of Leeds on the eastern Leg?</w:t>
            </w:r>
          </w:p>
        </w:tc>
        <w:tc>
          <w:tcPr>
            <w:tcW w:w="12191" w:type="dxa"/>
          </w:tcPr>
          <w:p w:rsidR="00206EBB" w:rsidRPr="006C346D" w:rsidRDefault="00206EBB" w:rsidP="00206EBB">
            <w:pPr>
              <w:pStyle w:val="ListParagraph"/>
              <w:numPr>
                <w:ilvl w:val="0"/>
                <w:numId w:val="1"/>
              </w:numPr>
              <w:ind w:left="360"/>
              <w:rPr>
                <w:color w:val="000000" w:themeColor="text1"/>
                <w:sz w:val="24"/>
                <w:szCs w:val="28"/>
              </w:rPr>
            </w:pPr>
            <w:r>
              <w:rPr>
                <w:color w:val="000000" w:themeColor="text1"/>
                <w:sz w:val="24"/>
                <w:szCs w:val="28"/>
              </w:rPr>
              <w:t xml:space="preserve">We/ I live in </w:t>
            </w:r>
            <w:r w:rsidRPr="006C346D">
              <w:rPr>
                <w:color w:val="000000" w:themeColor="text1"/>
                <w:sz w:val="24"/>
                <w:szCs w:val="28"/>
              </w:rPr>
              <w:t>close proximity to the tunnel entrance</w:t>
            </w:r>
            <w:r>
              <w:rPr>
                <w:color w:val="000000" w:themeColor="text1"/>
                <w:sz w:val="24"/>
                <w:szCs w:val="28"/>
              </w:rPr>
              <w:t xml:space="preserve">/exit that has been added since the route was revised, and </w:t>
            </w:r>
            <w:r w:rsidRPr="006C346D">
              <w:rPr>
                <w:color w:val="000000" w:themeColor="text1"/>
                <w:sz w:val="24"/>
                <w:szCs w:val="28"/>
              </w:rPr>
              <w:t>the compensati</w:t>
            </w:r>
            <w:r>
              <w:rPr>
                <w:color w:val="000000" w:themeColor="text1"/>
                <w:sz w:val="24"/>
                <w:szCs w:val="28"/>
              </w:rPr>
              <w:t xml:space="preserve">on scheme doesn’t cover this. The schemes </w:t>
            </w:r>
            <w:proofErr w:type="gramStart"/>
            <w:r>
              <w:rPr>
                <w:color w:val="000000" w:themeColor="text1"/>
                <w:sz w:val="24"/>
                <w:szCs w:val="28"/>
              </w:rPr>
              <w:t>looks</w:t>
            </w:r>
            <w:proofErr w:type="gramEnd"/>
            <w:r>
              <w:rPr>
                <w:color w:val="000000" w:themeColor="text1"/>
                <w:sz w:val="24"/>
                <w:szCs w:val="28"/>
              </w:rPr>
              <w:t xml:space="preserve"> </w:t>
            </w:r>
            <w:r w:rsidRPr="006C346D">
              <w:rPr>
                <w:color w:val="000000" w:themeColor="text1"/>
                <w:sz w:val="24"/>
                <w:szCs w:val="28"/>
              </w:rPr>
              <w:t>specifically set to only offer payments to those within the bandings of the home owner payments scheme, and the rural support zone. This seems very unfair, and illogical. A solution to this would be to use a radius from where the trains will e</w:t>
            </w:r>
            <w:r w:rsidR="008056D6">
              <w:rPr>
                <w:color w:val="000000" w:themeColor="text1"/>
                <w:sz w:val="24"/>
                <w:szCs w:val="28"/>
              </w:rPr>
              <w:t>nter, and exit the tunnel.</w:t>
            </w:r>
          </w:p>
          <w:p w:rsidR="00206EBB" w:rsidRPr="006E5DCA" w:rsidRDefault="00206EBB" w:rsidP="00206EBB">
            <w:pPr>
              <w:rPr>
                <w:color w:val="000000" w:themeColor="text1"/>
                <w:sz w:val="24"/>
                <w:szCs w:val="28"/>
              </w:rPr>
            </w:pPr>
          </w:p>
          <w:p w:rsidR="00206EBB" w:rsidRPr="006C346D" w:rsidRDefault="00206EBB" w:rsidP="00206EBB">
            <w:pPr>
              <w:pStyle w:val="ListParagraph"/>
              <w:numPr>
                <w:ilvl w:val="0"/>
                <w:numId w:val="1"/>
              </w:numPr>
              <w:ind w:left="360"/>
              <w:rPr>
                <w:color w:val="000000" w:themeColor="text1"/>
                <w:sz w:val="24"/>
                <w:szCs w:val="28"/>
              </w:rPr>
            </w:pPr>
            <w:r>
              <w:rPr>
                <w:color w:val="000000" w:themeColor="text1"/>
                <w:sz w:val="24"/>
                <w:szCs w:val="28"/>
              </w:rPr>
              <w:t>Properties</w:t>
            </w:r>
            <w:r w:rsidRPr="006C346D">
              <w:rPr>
                <w:color w:val="000000" w:themeColor="text1"/>
                <w:sz w:val="24"/>
                <w:szCs w:val="28"/>
              </w:rPr>
              <w:t xml:space="preserve"> around the</w:t>
            </w:r>
            <w:r>
              <w:rPr>
                <w:color w:val="000000" w:themeColor="text1"/>
                <w:sz w:val="24"/>
                <w:szCs w:val="28"/>
              </w:rPr>
              <w:t xml:space="preserve"> tunnel</w:t>
            </w:r>
            <w:r w:rsidRPr="006C346D">
              <w:rPr>
                <w:color w:val="000000" w:themeColor="text1"/>
                <w:sz w:val="24"/>
                <w:szCs w:val="28"/>
              </w:rPr>
              <w:t xml:space="preserve"> entrance, and exits will experience high levels</w:t>
            </w:r>
            <w:r>
              <w:rPr>
                <w:color w:val="000000" w:themeColor="text1"/>
                <w:sz w:val="24"/>
                <w:szCs w:val="28"/>
              </w:rPr>
              <w:t xml:space="preserve"> of blight both in construction</w:t>
            </w:r>
            <w:r w:rsidRPr="006C346D">
              <w:rPr>
                <w:color w:val="000000" w:themeColor="text1"/>
                <w:sz w:val="24"/>
                <w:szCs w:val="28"/>
              </w:rPr>
              <w:t>, and th</w:t>
            </w:r>
            <w:r>
              <w:rPr>
                <w:color w:val="000000" w:themeColor="text1"/>
                <w:sz w:val="24"/>
                <w:szCs w:val="28"/>
              </w:rPr>
              <w:t>en once the line is operational. T</w:t>
            </w:r>
            <w:r w:rsidRPr="006C346D">
              <w:rPr>
                <w:color w:val="000000" w:themeColor="text1"/>
                <w:sz w:val="24"/>
                <w:szCs w:val="28"/>
              </w:rPr>
              <w:t>here seems to have been little thought on this, and a full review on how compensation will be worked out</w:t>
            </w:r>
            <w:r>
              <w:rPr>
                <w:color w:val="000000" w:themeColor="text1"/>
                <w:sz w:val="24"/>
                <w:szCs w:val="28"/>
              </w:rPr>
              <w:t xml:space="preserve"> is required</w:t>
            </w:r>
            <w:r w:rsidRPr="006C346D">
              <w:rPr>
                <w:color w:val="000000" w:themeColor="text1"/>
                <w:sz w:val="24"/>
                <w:szCs w:val="28"/>
              </w:rPr>
              <w:t>. This was acknowledged at the recent HS2 ‘road show’ on Rothwell on the 20</w:t>
            </w:r>
            <w:r w:rsidRPr="006C346D">
              <w:rPr>
                <w:color w:val="000000" w:themeColor="text1"/>
                <w:sz w:val="24"/>
                <w:szCs w:val="28"/>
                <w:vertAlign w:val="superscript"/>
              </w:rPr>
              <w:t>th</w:t>
            </w:r>
            <w:r w:rsidRPr="006C346D">
              <w:rPr>
                <w:color w:val="000000" w:themeColor="text1"/>
                <w:sz w:val="24"/>
                <w:szCs w:val="28"/>
              </w:rPr>
              <w:t xml:space="preserve"> Jan 2017 by various HS2 delegates. Specifically, </w:t>
            </w:r>
            <w:r w:rsidRPr="00E717B3">
              <w:rPr>
                <w:color w:val="000000" w:themeColor="text1"/>
                <w:sz w:val="24"/>
                <w:szCs w:val="28"/>
              </w:rPr>
              <w:t xml:space="preserve">Stephen Milburn </w:t>
            </w:r>
            <w:r>
              <w:rPr>
                <w:color w:val="000000" w:themeColor="text1"/>
                <w:sz w:val="24"/>
                <w:szCs w:val="28"/>
              </w:rPr>
              <w:t xml:space="preserve">(Project Manager - Safeguarding </w:t>
            </w:r>
            <w:r w:rsidRPr="00E717B3">
              <w:rPr>
                <w:color w:val="000000" w:themeColor="text1"/>
                <w:sz w:val="24"/>
                <w:szCs w:val="28"/>
              </w:rPr>
              <w:t>HS2)</w:t>
            </w:r>
            <w:r>
              <w:rPr>
                <w:color w:val="000000" w:themeColor="text1"/>
                <w:sz w:val="24"/>
                <w:szCs w:val="28"/>
              </w:rPr>
              <w:t xml:space="preserve"> said we should reference him, and that he along with other HS2 staff felt the compensation wasn’t adequate for the level of blight being caused by Hs2.</w:t>
            </w:r>
          </w:p>
          <w:p w:rsidR="00206EBB" w:rsidRPr="006E5DCA" w:rsidRDefault="00206EBB" w:rsidP="00206EBB">
            <w:pPr>
              <w:rPr>
                <w:color w:val="000000" w:themeColor="text1"/>
                <w:sz w:val="24"/>
                <w:szCs w:val="28"/>
              </w:rPr>
            </w:pPr>
          </w:p>
          <w:p w:rsidR="00206EBB" w:rsidRPr="006C346D" w:rsidRDefault="00206EBB" w:rsidP="00206EBB">
            <w:pPr>
              <w:pStyle w:val="ListParagraph"/>
              <w:numPr>
                <w:ilvl w:val="0"/>
                <w:numId w:val="1"/>
              </w:numPr>
              <w:ind w:left="360"/>
              <w:rPr>
                <w:color w:val="000000" w:themeColor="text1"/>
                <w:sz w:val="24"/>
                <w:szCs w:val="28"/>
              </w:rPr>
            </w:pPr>
            <w:r>
              <w:rPr>
                <w:color w:val="000000" w:themeColor="text1"/>
                <w:sz w:val="24"/>
                <w:szCs w:val="28"/>
              </w:rPr>
              <w:lastRenderedPageBreak/>
              <w:t>Our/My house will be directly above the newly proposed tunnel. We/I feel e</w:t>
            </w:r>
            <w:r w:rsidRPr="006C346D">
              <w:rPr>
                <w:color w:val="000000" w:themeColor="text1"/>
                <w:sz w:val="24"/>
                <w:szCs w:val="28"/>
              </w:rPr>
              <w:t>ligibility should be reconsidered for addition</w:t>
            </w:r>
            <w:r>
              <w:rPr>
                <w:color w:val="000000" w:themeColor="text1"/>
                <w:sz w:val="24"/>
                <w:szCs w:val="28"/>
              </w:rPr>
              <w:t>al</w:t>
            </w:r>
            <w:r w:rsidRPr="006C346D">
              <w:rPr>
                <w:color w:val="000000" w:themeColor="text1"/>
                <w:sz w:val="24"/>
                <w:szCs w:val="28"/>
              </w:rPr>
              <w:t xml:space="preserve"> compensation above the purchase of subsoil rights for those properties directly above the tunnel, especially where the tunnel is not at its deepest passing under properties.</w:t>
            </w:r>
          </w:p>
          <w:p w:rsidR="00206EBB" w:rsidRDefault="00206EBB" w:rsidP="00206EBB">
            <w:pPr>
              <w:rPr>
                <w:color w:val="000000" w:themeColor="text1"/>
                <w:sz w:val="24"/>
                <w:szCs w:val="28"/>
              </w:rPr>
            </w:pPr>
          </w:p>
          <w:p w:rsidR="00206EBB" w:rsidRPr="006C346D" w:rsidRDefault="00206EBB" w:rsidP="00206EBB">
            <w:pPr>
              <w:pStyle w:val="ListParagraph"/>
              <w:numPr>
                <w:ilvl w:val="0"/>
                <w:numId w:val="1"/>
              </w:numPr>
              <w:ind w:left="360"/>
              <w:rPr>
                <w:color w:val="000000" w:themeColor="text1"/>
                <w:sz w:val="24"/>
                <w:szCs w:val="28"/>
              </w:rPr>
            </w:pPr>
            <w:r>
              <w:rPr>
                <w:color w:val="000000" w:themeColor="text1"/>
                <w:sz w:val="24"/>
                <w:szCs w:val="28"/>
              </w:rPr>
              <w:t>We/I understand that d</w:t>
            </w:r>
            <w:r w:rsidRPr="006C346D">
              <w:rPr>
                <w:color w:val="000000" w:themeColor="text1"/>
                <w:sz w:val="24"/>
                <w:szCs w:val="28"/>
              </w:rPr>
              <w:t xml:space="preserve">ue to the length of the tunnel, there will need to be safety entrances, if these need to be located anywhere near properties this should be compensated for. </w:t>
            </w:r>
          </w:p>
          <w:p w:rsidR="00206EBB" w:rsidRPr="006E5DCA" w:rsidRDefault="00206EBB" w:rsidP="00206EBB">
            <w:pPr>
              <w:rPr>
                <w:color w:val="000000" w:themeColor="text1"/>
                <w:sz w:val="24"/>
                <w:szCs w:val="28"/>
              </w:rPr>
            </w:pPr>
          </w:p>
          <w:p w:rsidR="00206EBB" w:rsidRPr="006C346D" w:rsidRDefault="00206EBB" w:rsidP="00206EBB">
            <w:pPr>
              <w:pStyle w:val="ListParagraph"/>
              <w:numPr>
                <w:ilvl w:val="0"/>
                <w:numId w:val="1"/>
              </w:numPr>
              <w:ind w:left="360"/>
              <w:rPr>
                <w:color w:val="000000" w:themeColor="text1"/>
                <w:sz w:val="24"/>
                <w:szCs w:val="28"/>
              </w:rPr>
            </w:pPr>
            <w:r w:rsidRPr="006C346D">
              <w:rPr>
                <w:color w:val="000000" w:themeColor="text1"/>
                <w:sz w:val="24"/>
                <w:szCs w:val="28"/>
              </w:rPr>
              <w:t xml:space="preserve">Whilst its mentioned about the before and after surveys for properties above deep tunnels that are considered to be at greatest risk of settlement, </w:t>
            </w:r>
            <w:r>
              <w:rPr>
                <w:color w:val="000000" w:themeColor="text1"/>
                <w:sz w:val="24"/>
                <w:szCs w:val="28"/>
              </w:rPr>
              <w:t xml:space="preserve">we/I feel this </w:t>
            </w:r>
            <w:r w:rsidRPr="006C346D">
              <w:rPr>
                <w:color w:val="000000" w:themeColor="text1"/>
                <w:sz w:val="24"/>
                <w:szCs w:val="28"/>
              </w:rPr>
              <w:t xml:space="preserve">should also be applicable to properties adjacent to tunnel entrance and exits. This is of specific concern to those in the Woodlesford area due to the geology </w:t>
            </w:r>
            <w:r>
              <w:rPr>
                <w:color w:val="000000" w:themeColor="text1"/>
                <w:sz w:val="24"/>
                <w:szCs w:val="28"/>
              </w:rPr>
              <w:t>of the area the tunnel is being proposed to going through.</w:t>
            </w:r>
          </w:p>
          <w:p w:rsidR="00206EBB" w:rsidRPr="006E5DCA" w:rsidRDefault="00206EBB" w:rsidP="00206EBB">
            <w:pPr>
              <w:rPr>
                <w:color w:val="000000" w:themeColor="text1"/>
                <w:sz w:val="24"/>
                <w:szCs w:val="28"/>
              </w:rPr>
            </w:pPr>
          </w:p>
          <w:p w:rsidR="00206EBB" w:rsidRPr="006C346D" w:rsidRDefault="00206EBB" w:rsidP="00206EBB">
            <w:pPr>
              <w:pStyle w:val="ListParagraph"/>
              <w:numPr>
                <w:ilvl w:val="0"/>
                <w:numId w:val="1"/>
              </w:numPr>
              <w:ind w:left="360"/>
              <w:rPr>
                <w:color w:val="000000" w:themeColor="text1"/>
                <w:sz w:val="24"/>
                <w:szCs w:val="28"/>
              </w:rPr>
            </w:pPr>
            <w:r w:rsidRPr="006C346D">
              <w:rPr>
                <w:color w:val="000000" w:themeColor="text1"/>
                <w:sz w:val="24"/>
                <w:szCs w:val="28"/>
              </w:rPr>
              <w:t>Settlement deeds, and reimbursement for any damage t</w:t>
            </w:r>
            <w:r>
              <w:rPr>
                <w:color w:val="000000" w:themeColor="text1"/>
                <w:sz w:val="24"/>
                <w:szCs w:val="28"/>
              </w:rPr>
              <w:t>o properties caused by HS2 seem</w:t>
            </w:r>
            <w:r w:rsidRPr="006C346D">
              <w:rPr>
                <w:color w:val="000000" w:themeColor="text1"/>
                <w:sz w:val="24"/>
                <w:szCs w:val="28"/>
              </w:rPr>
              <w:t xml:space="preserve"> to only be available to those above the tunnel, </w:t>
            </w:r>
            <w:r>
              <w:rPr>
                <w:color w:val="000000" w:themeColor="text1"/>
                <w:sz w:val="24"/>
                <w:szCs w:val="28"/>
              </w:rPr>
              <w:t xml:space="preserve">We/I feel </w:t>
            </w:r>
            <w:r w:rsidRPr="006C346D">
              <w:rPr>
                <w:color w:val="000000" w:themeColor="text1"/>
                <w:sz w:val="24"/>
                <w:szCs w:val="28"/>
              </w:rPr>
              <w:t>this should also be extended to those adjacent to tunnel entrance, and exit.</w:t>
            </w:r>
          </w:p>
        </w:tc>
      </w:tr>
      <w:tr w:rsidR="00F40940" w:rsidTr="007C0BA6">
        <w:tc>
          <w:tcPr>
            <w:tcW w:w="2830" w:type="dxa"/>
          </w:tcPr>
          <w:p w:rsidR="00F40940" w:rsidRDefault="00F40940" w:rsidP="007C0BA6">
            <w:pPr>
              <w:rPr>
                <w:color w:val="000000" w:themeColor="text1"/>
                <w:sz w:val="24"/>
                <w:szCs w:val="28"/>
              </w:rPr>
            </w:pPr>
            <w:r w:rsidRPr="00615E68">
              <w:rPr>
                <w:b/>
                <w:color w:val="000000" w:themeColor="text1"/>
                <w:sz w:val="24"/>
                <w:szCs w:val="28"/>
              </w:rPr>
              <w:lastRenderedPageBreak/>
              <w:t>Question 3:</w:t>
            </w:r>
            <w:r>
              <w:rPr>
                <w:color w:val="000000" w:themeColor="text1"/>
                <w:sz w:val="24"/>
                <w:szCs w:val="28"/>
              </w:rPr>
              <w:t xml:space="preserve"> Do you have any comments on the current operation of the ‘no prior knowledge’ criterion in relation to the need to sell scheme? Do you believe changes should be made to this criterion and, if so, what changes should be made and why?</w:t>
            </w:r>
          </w:p>
        </w:tc>
        <w:tc>
          <w:tcPr>
            <w:tcW w:w="12191" w:type="dxa"/>
          </w:tcPr>
          <w:p w:rsidR="00F40940" w:rsidRPr="00F50CE3" w:rsidRDefault="00F40940" w:rsidP="004C2F0B">
            <w:pPr>
              <w:pStyle w:val="ListParagraph"/>
              <w:numPr>
                <w:ilvl w:val="0"/>
                <w:numId w:val="2"/>
              </w:numPr>
              <w:rPr>
                <w:color w:val="000000" w:themeColor="text1"/>
                <w:sz w:val="24"/>
                <w:szCs w:val="28"/>
              </w:rPr>
            </w:pPr>
            <w:r w:rsidRPr="00D45167">
              <w:rPr>
                <w:color w:val="000000" w:themeColor="text1"/>
                <w:sz w:val="24"/>
                <w:szCs w:val="28"/>
              </w:rPr>
              <w:t>We/I understand that anyone moving in after 28/01/13 is not e</w:t>
            </w:r>
            <w:r w:rsidR="004C2F0B">
              <w:rPr>
                <w:color w:val="000000" w:themeColor="text1"/>
                <w:sz w:val="24"/>
                <w:szCs w:val="28"/>
              </w:rPr>
              <w:t>ligible to compensation schemes. D</w:t>
            </w:r>
            <w:r w:rsidRPr="00D45167">
              <w:rPr>
                <w:color w:val="000000" w:themeColor="text1"/>
                <w:sz w:val="24"/>
                <w:szCs w:val="28"/>
              </w:rPr>
              <w:t>ue to the changes proposed with the route refinement</w:t>
            </w:r>
            <w:r w:rsidR="004C2F0B">
              <w:rPr>
                <w:color w:val="000000" w:themeColor="text1"/>
                <w:sz w:val="24"/>
                <w:szCs w:val="28"/>
              </w:rPr>
              <w:t xml:space="preserve"> since that date, this must </w:t>
            </w:r>
            <w:r w:rsidRPr="00D45167">
              <w:rPr>
                <w:color w:val="000000" w:themeColor="text1"/>
                <w:sz w:val="24"/>
                <w:szCs w:val="28"/>
              </w:rPr>
              <w:t xml:space="preserve">be reconsidered as the goal posts have now change. We/I </w:t>
            </w:r>
            <w:proofErr w:type="gramStart"/>
            <w:r w:rsidRPr="00D45167">
              <w:rPr>
                <w:color w:val="000000" w:themeColor="text1"/>
                <w:sz w:val="24"/>
                <w:szCs w:val="28"/>
              </w:rPr>
              <w:t>weren’t</w:t>
            </w:r>
            <w:proofErr w:type="gramEnd"/>
            <w:r w:rsidRPr="00D45167">
              <w:rPr>
                <w:color w:val="000000" w:themeColor="text1"/>
                <w:sz w:val="24"/>
                <w:szCs w:val="28"/>
              </w:rPr>
              <w:t xml:space="preserve"> previously affected in the same way we now are.</w:t>
            </w:r>
          </w:p>
        </w:tc>
      </w:tr>
      <w:tr w:rsidR="00F40940" w:rsidTr="007C0BA6">
        <w:tc>
          <w:tcPr>
            <w:tcW w:w="2830" w:type="dxa"/>
          </w:tcPr>
          <w:p w:rsidR="00F40940" w:rsidRPr="00615E68" w:rsidRDefault="00F40940" w:rsidP="007C0BA6">
            <w:pPr>
              <w:rPr>
                <w:b/>
                <w:color w:val="000000" w:themeColor="text1"/>
                <w:sz w:val="24"/>
                <w:szCs w:val="28"/>
              </w:rPr>
            </w:pPr>
            <w:r w:rsidRPr="00615E68">
              <w:rPr>
                <w:b/>
                <w:color w:val="000000" w:themeColor="text1"/>
                <w:sz w:val="24"/>
                <w:szCs w:val="28"/>
              </w:rPr>
              <w:t>General Feedback</w:t>
            </w:r>
            <w:r w:rsidR="004C2F0B">
              <w:rPr>
                <w:b/>
                <w:color w:val="000000" w:themeColor="text1"/>
                <w:sz w:val="24"/>
                <w:szCs w:val="28"/>
              </w:rPr>
              <w:t xml:space="preserve"> / </w:t>
            </w:r>
            <w:r w:rsidR="004C2F0B" w:rsidRPr="004C2F0B">
              <w:rPr>
                <w:b/>
                <w:color w:val="000000" w:themeColor="text1"/>
                <w:sz w:val="24"/>
                <w:szCs w:val="28"/>
              </w:rPr>
              <w:t>Issues not covered by consultation questions</w:t>
            </w:r>
          </w:p>
        </w:tc>
        <w:tc>
          <w:tcPr>
            <w:tcW w:w="12191" w:type="dxa"/>
          </w:tcPr>
          <w:p w:rsidR="004C2F0B" w:rsidRPr="004C2F0B" w:rsidRDefault="004C2F0B" w:rsidP="004C2F0B">
            <w:pPr>
              <w:rPr>
                <w:b/>
                <w:color w:val="000000" w:themeColor="text1"/>
                <w:sz w:val="24"/>
                <w:szCs w:val="28"/>
              </w:rPr>
            </w:pPr>
            <w:r w:rsidRPr="004C2F0B">
              <w:rPr>
                <w:b/>
                <w:color w:val="000000" w:themeColor="text1"/>
                <w:sz w:val="24"/>
                <w:szCs w:val="28"/>
              </w:rPr>
              <w:t>Fairness</w:t>
            </w:r>
          </w:p>
          <w:p w:rsidR="00F40940" w:rsidRPr="00591F60" w:rsidRDefault="00F40940" w:rsidP="008B2D4C">
            <w:pPr>
              <w:pStyle w:val="ListParagraph"/>
              <w:numPr>
                <w:ilvl w:val="0"/>
                <w:numId w:val="2"/>
              </w:numPr>
              <w:rPr>
                <w:color w:val="000000" w:themeColor="text1"/>
                <w:sz w:val="24"/>
                <w:szCs w:val="28"/>
              </w:rPr>
            </w:pPr>
            <w:r>
              <w:rPr>
                <w:color w:val="000000" w:themeColor="text1"/>
                <w:sz w:val="24"/>
                <w:szCs w:val="28"/>
              </w:rPr>
              <w:t>We/I acknowledge</w:t>
            </w:r>
            <w:r w:rsidRPr="006C346D">
              <w:rPr>
                <w:color w:val="000000" w:themeColor="text1"/>
                <w:sz w:val="24"/>
                <w:szCs w:val="28"/>
              </w:rPr>
              <w:t xml:space="preserve"> there are aesthetic advantages to the new route refinement moving the </w:t>
            </w:r>
            <w:r>
              <w:rPr>
                <w:color w:val="000000" w:themeColor="text1"/>
                <w:sz w:val="24"/>
                <w:szCs w:val="28"/>
              </w:rPr>
              <w:t xml:space="preserve">original </w:t>
            </w:r>
            <w:r w:rsidRPr="006C346D">
              <w:rPr>
                <w:color w:val="000000" w:themeColor="text1"/>
                <w:sz w:val="24"/>
                <w:szCs w:val="28"/>
              </w:rPr>
              <w:t>viaduct to a tunnel through Woodlesford</w:t>
            </w:r>
            <w:r>
              <w:rPr>
                <w:color w:val="000000" w:themeColor="text1"/>
                <w:sz w:val="24"/>
                <w:szCs w:val="28"/>
              </w:rPr>
              <w:t xml:space="preserve">. </w:t>
            </w:r>
            <w:r w:rsidRPr="00591F60">
              <w:rPr>
                <w:color w:val="000000" w:themeColor="text1"/>
                <w:sz w:val="24"/>
                <w:szCs w:val="28"/>
              </w:rPr>
              <w:t>However</w:t>
            </w:r>
            <w:r>
              <w:rPr>
                <w:color w:val="000000" w:themeColor="text1"/>
                <w:sz w:val="24"/>
                <w:szCs w:val="28"/>
              </w:rPr>
              <w:t>,</w:t>
            </w:r>
            <w:r w:rsidRPr="00591F60">
              <w:rPr>
                <w:color w:val="000000" w:themeColor="text1"/>
                <w:sz w:val="24"/>
                <w:szCs w:val="28"/>
              </w:rPr>
              <w:t xml:space="preserve"> the residents in the area will now suffer blight from all angles, including under, though, and being overlooked from huge heights on the viaducts that are still running up to the new tunnel, and off the spur up to Garforth. This, as an overall desig</w:t>
            </w:r>
            <w:r>
              <w:rPr>
                <w:color w:val="000000" w:themeColor="text1"/>
                <w:sz w:val="24"/>
                <w:szCs w:val="28"/>
              </w:rPr>
              <w:t>n for this section of the route</w:t>
            </w:r>
            <w:r w:rsidRPr="00591F60">
              <w:rPr>
                <w:color w:val="000000" w:themeColor="text1"/>
                <w:sz w:val="24"/>
                <w:szCs w:val="28"/>
              </w:rPr>
              <w:t xml:space="preserve"> is hugely devastating to this whole area </w:t>
            </w:r>
            <w:r w:rsidRPr="00591F60">
              <w:rPr>
                <w:color w:val="000000" w:themeColor="text1"/>
                <w:sz w:val="24"/>
                <w:szCs w:val="28"/>
              </w:rPr>
              <w:lastRenderedPageBreak/>
              <w:t xml:space="preserve">of Leeds (Woodlesford / Oulton / </w:t>
            </w:r>
            <w:proofErr w:type="spellStart"/>
            <w:r w:rsidRPr="00591F60">
              <w:rPr>
                <w:color w:val="000000" w:themeColor="text1"/>
                <w:sz w:val="24"/>
                <w:szCs w:val="28"/>
              </w:rPr>
              <w:t>Swillington</w:t>
            </w:r>
            <w:proofErr w:type="spellEnd"/>
            <w:r w:rsidRPr="00591F60">
              <w:rPr>
                <w:color w:val="000000" w:themeColor="text1"/>
                <w:sz w:val="24"/>
                <w:szCs w:val="28"/>
              </w:rPr>
              <w:t xml:space="preserve"> / </w:t>
            </w:r>
            <w:proofErr w:type="spellStart"/>
            <w:r w:rsidRPr="00591F60">
              <w:rPr>
                <w:color w:val="000000" w:themeColor="text1"/>
                <w:sz w:val="24"/>
                <w:szCs w:val="28"/>
              </w:rPr>
              <w:t>Methley</w:t>
            </w:r>
            <w:proofErr w:type="spellEnd"/>
            <w:r w:rsidRPr="00591F60">
              <w:rPr>
                <w:color w:val="000000" w:themeColor="text1"/>
                <w:sz w:val="24"/>
                <w:szCs w:val="28"/>
              </w:rPr>
              <w:t>). Compensation should be widened due the colossal disruption and long term environmental damages to the wider community, and not just t</w:t>
            </w:r>
            <w:r>
              <w:rPr>
                <w:color w:val="000000" w:themeColor="text1"/>
                <w:sz w:val="24"/>
                <w:szCs w:val="28"/>
              </w:rPr>
              <w:t>hose directly next to the line.</w:t>
            </w:r>
          </w:p>
          <w:p w:rsidR="00F40940" w:rsidRPr="006E5DCA" w:rsidRDefault="00F40940" w:rsidP="007C0BA6">
            <w:pPr>
              <w:rPr>
                <w:color w:val="000000" w:themeColor="text1"/>
                <w:sz w:val="24"/>
                <w:szCs w:val="28"/>
              </w:rPr>
            </w:pPr>
          </w:p>
          <w:p w:rsidR="00F40940" w:rsidRPr="004C2F0B" w:rsidRDefault="00F40940" w:rsidP="008B2D4C">
            <w:pPr>
              <w:pStyle w:val="ListParagraph"/>
              <w:numPr>
                <w:ilvl w:val="0"/>
                <w:numId w:val="2"/>
              </w:numPr>
              <w:rPr>
                <w:color w:val="000000" w:themeColor="text1"/>
                <w:sz w:val="24"/>
                <w:szCs w:val="28"/>
              </w:rPr>
            </w:pPr>
            <w:r w:rsidRPr="004C2F0B">
              <w:rPr>
                <w:color w:val="000000" w:themeColor="text1"/>
                <w:sz w:val="24"/>
                <w:szCs w:val="28"/>
              </w:rPr>
              <w:t>We/I have found the Need to sell scheme seems to exclude almost all households that look into using it, due to the point that requires a compelling reason to move. HS2 should allow anyone within a defined boundary use the reason they do not wish to live right next to HS2 as a valid compelling reason to move, as it has been proved as part of the original proposal that as soon as the plans for the route were released, homeowners closest to the line were either unable to sell their property, or had to sell at a reduced price. This is unacceptable.</w:t>
            </w:r>
          </w:p>
          <w:p w:rsidR="004C2F0B" w:rsidRPr="004C2F0B" w:rsidRDefault="004C2F0B" w:rsidP="004C2F0B">
            <w:pPr>
              <w:pStyle w:val="ListParagraph"/>
              <w:rPr>
                <w:color w:val="000000" w:themeColor="text1"/>
                <w:sz w:val="24"/>
                <w:szCs w:val="28"/>
              </w:rPr>
            </w:pPr>
          </w:p>
          <w:p w:rsidR="004C2F0B" w:rsidRPr="004C2F0B" w:rsidRDefault="004C2F0B" w:rsidP="008B2D4C">
            <w:pPr>
              <w:pStyle w:val="ListParagraph"/>
              <w:numPr>
                <w:ilvl w:val="0"/>
                <w:numId w:val="2"/>
              </w:numPr>
              <w:rPr>
                <w:color w:val="000000" w:themeColor="text1"/>
                <w:sz w:val="24"/>
                <w:szCs w:val="28"/>
              </w:rPr>
            </w:pPr>
            <w:r>
              <w:rPr>
                <w:color w:val="000000" w:themeColor="text1"/>
                <w:sz w:val="24"/>
                <w:szCs w:val="28"/>
              </w:rPr>
              <w:t>We/I feel i</w:t>
            </w:r>
            <w:r w:rsidRPr="004C2F0B">
              <w:rPr>
                <w:color w:val="000000" w:themeColor="text1"/>
                <w:sz w:val="24"/>
                <w:szCs w:val="28"/>
              </w:rPr>
              <w:t xml:space="preserve">t is hard to understand how Government can call these proposals “generous”. </w:t>
            </w:r>
            <w:r w:rsidR="008B2D4C">
              <w:rPr>
                <w:color w:val="000000" w:themeColor="text1"/>
                <w:sz w:val="24"/>
                <w:szCs w:val="28"/>
              </w:rPr>
              <w:t>It is</w:t>
            </w:r>
            <w:r w:rsidRPr="004C2F0B">
              <w:rPr>
                <w:color w:val="000000" w:themeColor="text1"/>
                <w:sz w:val="24"/>
                <w:szCs w:val="28"/>
              </w:rPr>
              <w:t xml:space="preserve"> estimate</w:t>
            </w:r>
            <w:r w:rsidR="008B2D4C">
              <w:rPr>
                <w:color w:val="000000" w:themeColor="text1"/>
                <w:sz w:val="24"/>
                <w:szCs w:val="28"/>
              </w:rPr>
              <w:t>d</w:t>
            </w:r>
            <w:r w:rsidRPr="004C2F0B">
              <w:rPr>
                <w:color w:val="000000" w:themeColor="text1"/>
                <w:sz w:val="24"/>
                <w:szCs w:val="28"/>
              </w:rPr>
              <w:t xml:space="preserve"> that proposals will compensate less than 2% of those affected by blight nationally. Unpublished data for HS2 Ltd suggests blight is extensive and covers a wider area than the schemes envisage. The vast majority of those blighted are left uncompensated and having to bear the loss themselves. This initial loss is not even included in the business case – so that despite including social and welfare benefits, this </w:t>
            </w:r>
            <w:proofErr w:type="spellStart"/>
            <w:r w:rsidRPr="004C2F0B">
              <w:rPr>
                <w:color w:val="000000" w:themeColor="text1"/>
                <w:sz w:val="24"/>
                <w:szCs w:val="28"/>
              </w:rPr>
              <w:t>disbenefit</w:t>
            </w:r>
            <w:proofErr w:type="spellEnd"/>
            <w:r w:rsidRPr="004C2F0B">
              <w:rPr>
                <w:color w:val="000000" w:themeColor="text1"/>
                <w:sz w:val="24"/>
                <w:szCs w:val="28"/>
              </w:rPr>
              <w:t xml:space="preserve"> is excluded.</w:t>
            </w:r>
          </w:p>
          <w:p w:rsidR="004C2F0B" w:rsidRPr="004C2F0B" w:rsidRDefault="004C2F0B" w:rsidP="004C2F0B">
            <w:pPr>
              <w:pStyle w:val="ListParagraph"/>
              <w:ind w:left="360"/>
              <w:rPr>
                <w:color w:val="000000" w:themeColor="text1"/>
                <w:sz w:val="24"/>
                <w:szCs w:val="28"/>
              </w:rPr>
            </w:pPr>
          </w:p>
          <w:p w:rsidR="008B2D4C" w:rsidRPr="008B2D4C" w:rsidRDefault="008B2D4C" w:rsidP="008B2D4C">
            <w:pPr>
              <w:pStyle w:val="ListParagraph"/>
              <w:numPr>
                <w:ilvl w:val="0"/>
                <w:numId w:val="2"/>
              </w:numPr>
              <w:rPr>
                <w:color w:val="000000" w:themeColor="text1"/>
                <w:sz w:val="24"/>
                <w:szCs w:val="28"/>
              </w:rPr>
            </w:pPr>
            <w:r>
              <w:rPr>
                <w:color w:val="000000" w:themeColor="text1"/>
                <w:sz w:val="24"/>
                <w:szCs w:val="28"/>
              </w:rPr>
              <w:t xml:space="preserve">We/I feel that </w:t>
            </w:r>
            <w:r w:rsidR="004C2F0B" w:rsidRPr="004C2F0B">
              <w:rPr>
                <w:color w:val="000000" w:themeColor="text1"/>
                <w:sz w:val="24"/>
                <w:szCs w:val="28"/>
              </w:rPr>
              <w:t>HS2</w:t>
            </w:r>
            <w:r>
              <w:rPr>
                <w:color w:val="000000" w:themeColor="text1"/>
                <w:sz w:val="24"/>
                <w:szCs w:val="28"/>
              </w:rPr>
              <w:t>should</w:t>
            </w:r>
            <w:r w:rsidR="004C2F0B" w:rsidRPr="004C2F0B">
              <w:rPr>
                <w:color w:val="000000" w:themeColor="text1"/>
                <w:sz w:val="24"/>
                <w:szCs w:val="28"/>
              </w:rPr>
              <w:t xml:space="preserve"> consider that no individual should have to bear a disproportionate share of the cost of HS2 (</w:t>
            </w:r>
            <w:proofErr w:type="spellStart"/>
            <w:r w:rsidR="004C2F0B" w:rsidRPr="004C2F0B">
              <w:rPr>
                <w:color w:val="000000" w:themeColor="text1"/>
                <w:sz w:val="24"/>
                <w:szCs w:val="28"/>
              </w:rPr>
              <w:t>ie</w:t>
            </w:r>
            <w:proofErr w:type="spellEnd"/>
            <w:r w:rsidR="004C2F0B" w:rsidRPr="004C2F0B">
              <w:rPr>
                <w:color w:val="000000" w:themeColor="text1"/>
                <w:sz w:val="24"/>
                <w:szCs w:val="28"/>
              </w:rPr>
              <w:t xml:space="preserve"> both as the owner of an affected property and as a taxpayer). We believe the current compensation proposals do not avoid this injustice.</w:t>
            </w:r>
            <w:r w:rsidR="004C2F0B" w:rsidRPr="004C2F0B">
              <w:rPr>
                <w:color w:val="000000" w:themeColor="text1"/>
                <w:sz w:val="24"/>
                <w:szCs w:val="28"/>
              </w:rPr>
              <w:br/>
            </w:r>
          </w:p>
          <w:p w:rsidR="004C2F0B" w:rsidRPr="008B2D4C" w:rsidRDefault="008B2D4C" w:rsidP="008B2D4C">
            <w:pPr>
              <w:pStyle w:val="ListParagraph"/>
              <w:numPr>
                <w:ilvl w:val="0"/>
                <w:numId w:val="2"/>
              </w:numPr>
              <w:rPr>
                <w:color w:val="000000" w:themeColor="text1"/>
                <w:sz w:val="24"/>
                <w:szCs w:val="28"/>
              </w:rPr>
            </w:pPr>
            <w:r>
              <w:rPr>
                <w:color w:val="000000" w:themeColor="text1"/>
                <w:sz w:val="24"/>
                <w:szCs w:val="28"/>
              </w:rPr>
              <w:t>We/I</w:t>
            </w:r>
            <w:r w:rsidR="004C2F0B" w:rsidRPr="004C2F0B">
              <w:rPr>
                <w:color w:val="000000" w:themeColor="text1"/>
                <w:sz w:val="24"/>
                <w:szCs w:val="28"/>
              </w:rPr>
              <w:t xml:space="preserve"> believe that compensation should not rely on arbitrary distance limits (as in the Voluntary Purchase Zone (VPZ) in rural areas); or on a location being “substantially adversely affected” (as under the long-term scheme criteria); or be qualified by personal circumstances of hardship (as under the long-term scheme rules). Instead we believe that compensation should depend on loss in market value due to HS2 having occurred, which is how the blight actually manifests itself. This is fairer, simpler and would apply equally across rural, urban and tunnelled areas, according to the nature and degree of loss.</w:t>
            </w:r>
          </w:p>
          <w:p w:rsidR="008B2D4C" w:rsidRPr="008B2D4C" w:rsidRDefault="008B2D4C" w:rsidP="008B2D4C">
            <w:pPr>
              <w:pStyle w:val="ListParagraph"/>
              <w:rPr>
                <w:color w:val="000000" w:themeColor="text1"/>
                <w:sz w:val="24"/>
                <w:szCs w:val="28"/>
              </w:rPr>
            </w:pPr>
          </w:p>
          <w:p w:rsidR="008B2D4C" w:rsidRPr="008B2D4C" w:rsidRDefault="008B2D4C" w:rsidP="008B2D4C">
            <w:pPr>
              <w:pStyle w:val="ListParagraph"/>
              <w:numPr>
                <w:ilvl w:val="0"/>
                <w:numId w:val="2"/>
              </w:numPr>
              <w:rPr>
                <w:color w:val="000000" w:themeColor="text1"/>
                <w:sz w:val="24"/>
                <w:szCs w:val="28"/>
              </w:rPr>
            </w:pPr>
            <w:r>
              <w:rPr>
                <w:color w:val="000000" w:themeColor="text1"/>
                <w:sz w:val="24"/>
                <w:szCs w:val="28"/>
              </w:rPr>
              <w:t>We/I</w:t>
            </w:r>
            <w:r w:rsidRPr="008B2D4C">
              <w:rPr>
                <w:color w:val="000000" w:themeColor="text1"/>
                <w:sz w:val="24"/>
                <w:szCs w:val="28"/>
              </w:rPr>
              <w:t xml:space="preserve"> believe that it is not co-incidence that Philip Hammond emphasised the need for fair compensation when he first laid the groundwork on settling the principle of compensation for blight. Unless the principle of fairness to those affected is established, the inadequacies in the package of compensation arrangements will inevitably cause </w:t>
            </w:r>
            <w:r w:rsidRPr="008B2D4C">
              <w:rPr>
                <w:color w:val="000000" w:themeColor="text1"/>
                <w:sz w:val="24"/>
                <w:szCs w:val="28"/>
              </w:rPr>
              <w:lastRenderedPageBreak/>
              <w:t>opposition to any project. We have consulted our supporters and affiliated members and believe the following principles should apply:</w:t>
            </w:r>
          </w:p>
          <w:p w:rsidR="008B2D4C" w:rsidRPr="008B2D4C" w:rsidRDefault="008B2D4C" w:rsidP="008B2D4C">
            <w:pPr>
              <w:pStyle w:val="ListParagraph"/>
              <w:numPr>
                <w:ilvl w:val="1"/>
                <w:numId w:val="2"/>
              </w:numPr>
              <w:rPr>
                <w:color w:val="000000" w:themeColor="text1"/>
                <w:sz w:val="24"/>
                <w:szCs w:val="28"/>
              </w:rPr>
            </w:pPr>
            <w:r w:rsidRPr="008B2D4C">
              <w:rPr>
                <w:color w:val="000000" w:themeColor="text1"/>
                <w:sz w:val="24"/>
                <w:szCs w:val="28"/>
              </w:rPr>
              <w:t>No individual should bear a disproportionate share of the cost of HS2 by suffering a personal loss in the value of their property as well as contributing as a normal citizen and taxpayer</w:t>
            </w:r>
          </w:p>
          <w:p w:rsidR="008B2D4C" w:rsidRPr="008B2D4C" w:rsidRDefault="008B2D4C" w:rsidP="008B2D4C">
            <w:pPr>
              <w:pStyle w:val="ListParagraph"/>
              <w:numPr>
                <w:ilvl w:val="1"/>
                <w:numId w:val="2"/>
              </w:numPr>
              <w:rPr>
                <w:color w:val="000000" w:themeColor="text1"/>
                <w:sz w:val="24"/>
                <w:szCs w:val="28"/>
              </w:rPr>
            </w:pPr>
            <w:r w:rsidRPr="008B2D4C">
              <w:rPr>
                <w:color w:val="000000" w:themeColor="text1"/>
                <w:sz w:val="24"/>
                <w:szCs w:val="28"/>
              </w:rPr>
              <w:t>Government should at least keep its promises </w:t>
            </w:r>
            <w:proofErr w:type="spellStart"/>
            <w:r w:rsidRPr="008B2D4C">
              <w:rPr>
                <w:color w:val="000000" w:themeColor="text1"/>
                <w:sz w:val="24"/>
                <w:szCs w:val="28"/>
              </w:rPr>
              <w:t>eg</w:t>
            </w:r>
            <w:proofErr w:type="spellEnd"/>
            <w:r w:rsidRPr="008B2D4C">
              <w:rPr>
                <w:color w:val="000000" w:themeColor="text1"/>
                <w:sz w:val="24"/>
                <w:szCs w:val="28"/>
              </w:rPr>
              <w:t xml:space="preserve"> to compensate ‘significant losses’</w:t>
            </w:r>
          </w:p>
          <w:p w:rsidR="008B2D4C" w:rsidRPr="008B2D4C" w:rsidRDefault="008B2D4C" w:rsidP="008B2D4C">
            <w:pPr>
              <w:pStyle w:val="ListParagraph"/>
              <w:numPr>
                <w:ilvl w:val="1"/>
                <w:numId w:val="2"/>
              </w:numPr>
              <w:rPr>
                <w:color w:val="000000" w:themeColor="text1"/>
                <w:sz w:val="24"/>
                <w:szCs w:val="28"/>
              </w:rPr>
            </w:pPr>
            <w:r w:rsidRPr="008B2D4C">
              <w:rPr>
                <w:color w:val="000000" w:themeColor="text1"/>
                <w:sz w:val="24"/>
                <w:szCs w:val="28"/>
              </w:rPr>
              <w:t>HS2 should not deny people the freedom to move or re-mortgage for 15yrs and more</w:t>
            </w:r>
          </w:p>
          <w:p w:rsidR="008B2D4C" w:rsidRPr="008B2D4C" w:rsidRDefault="008B2D4C" w:rsidP="008B2D4C">
            <w:pPr>
              <w:pStyle w:val="ListParagraph"/>
              <w:numPr>
                <w:ilvl w:val="1"/>
                <w:numId w:val="2"/>
              </w:numPr>
              <w:rPr>
                <w:color w:val="000000" w:themeColor="text1"/>
                <w:sz w:val="24"/>
                <w:szCs w:val="28"/>
              </w:rPr>
            </w:pPr>
            <w:r w:rsidRPr="008B2D4C">
              <w:rPr>
                <w:color w:val="000000" w:themeColor="text1"/>
                <w:sz w:val="24"/>
                <w:szCs w:val="28"/>
              </w:rPr>
              <w:t xml:space="preserve">Government should apply the ‘polluter pays’ principle – as HS2 causes the loss in </w:t>
            </w:r>
            <w:proofErr w:type="spellStart"/>
            <w:r w:rsidRPr="008B2D4C">
              <w:rPr>
                <w:color w:val="000000" w:themeColor="text1"/>
                <w:sz w:val="24"/>
                <w:szCs w:val="28"/>
              </w:rPr>
              <w:t>propert</w:t>
            </w:r>
            <w:proofErr w:type="spellEnd"/>
            <w:r w:rsidRPr="008B2D4C">
              <w:rPr>
                <w:color w:val="000000" w:themeColor="text1"/>
                <w:sz w:val="24"/>
                <w:szCs w:val="28"/>
              </w:rPr>
              <w:t> values, HS2 should pay for it (with any uncompensated loss included in the business case)</w:t>
            </w:r>
          </w:p>
          <w:p w:rsidR="008B2D4C" w:rsidRPr="008B2D4C" w:rsidRDefault="008B2D4C" w:rsidP="008B2D4C">
            <w:pPr>
              <w:pStyle w:val="ListParagraph"/>
              <w:numPr>
                <w:ilvl w:val="1"/>
                <w:numId w:val="2"/>
              </w:numPr>
              <w:rPr>
                <w:color w:val="000000" w:themeColor="text1"/>
                <w:sz w:val="24"/>
                <w:szCs w:val="28"/>
              </w:rPr>
            </w:pPr>
            <w:r w:rsidRPr="008B2D4C">
              <w:rPr>
                <w:color w:val="000000" w:themeColor="text1"/>
                <w:sz w:val="24"/>
                <w:szCs w:val="28"/>
              </w:rPr>
              <w:t>All decisions should be subject to independent appeal</w:t>
            </w:r>
          </w:p>
          <w:p w:rsidR="008B2D4C" w:rsidRPr="008B2D4C" w:rsidRDefault="008B2D4C" w:rsidP="008B2D4C">
            <w:pPr>
              <w:pStyle w:val="ListParagraph"/>
              <w:numPr>
                <w:ilvl w:val="1"/>
                <w:numId w:val="2"/>
              </w:numPr>
              <w:rPr>
                <w:color w:val="000000" w:themeColor="text1"/>
                <w:sz w:val="24"/>
                <w:szCs w:val="28"/>
              </w:rPr>
            </w:pPr>
            <w:r w:rsidRPr="008B2D4C">
              <w:rPr>
                <w:color w:val="000000" w:themeColor="text1"/>
                <w:sz w:val="24"/>
                <w:szCs w:val="28"/>
              </w:rPr>
              <w:t>If the Government cannot afford fair compensation, then we believe it cannot afford HS2.</w:t>
            </w:r>
          </w:p>
          <w:p w:rsidR="008B2D4C" w:rsidRDefault="008B2D4C" w:rsidP="008B2D4C">
            <w:pPr>
              <w:pStyle w:val="ListParagraph"/>
              <w:ind w:left="360"/>
              <w:rPr>
                <w:color w:val="000000" w:themeColor="text1"/>
                <w:sz w:val="24"/>
                <w:szCs w:val="28"/>
              </w:rPr>
            </w:pPr>
          </w:p>
          <w:p w:rsidR="008B2D4C" w:rsidRDefault="008B2D4C" w:rsidP="008B2D4C">
            <w:pPr>
              <w:rPr>
                <w:b/>
                <w:color w:val="000000" w:themeColor="text1"/>
                <w:sz w:val="24"/>
                <w:szCs w:val="28"/>
              </w:rPr>
            </w:pPr>
            <w:r w:rsidRPr="008B2D4C">
              <w:rPr>
                <w:b/>
                <w:color w:val="000000" w:themeColor="text1"/>
                <w:sz w:val="24"/>
                <w:szCs w:val="28"/>
              </w:rPr>
              <w:t>Rural Support Zone - Voluntary Purchase area</w:t>
            </w:r>
          </w:p>
          <w:p w:rsidR="008B2D4C" w:rsidRDefault="008B2D4C" w:rsidP="008B2D4C">
            <w:pPr>
              <w:pStyle w:val="ListParagraph"/>
              <w:numPr>
                <w:ilvl w:val="0"/>
                <w:numId w:val="2"/>
              </w:numPr>
              <w:rPr>
                <w:color w:val="000000" w:themeColor="text1"/>
                <w:sz w:val="24"/>
                <w:szCs w:val="28"/>
              </w:rPr>
            </w:pPr>
            <w:r>
              <w:rPr>
                <w:color w:val="000000" w:themeColor="text1"/>
                <w:sz w:val="24"/>
                <w:szCs w:val="28"/>
              </w:rPr>
              <w:t>We/I would like to highlight that t</w:t>
            </w:r>
            <w:r w:rsidRPr="008B2D4C">
              <w:rPr>
                <w:color w:val="000000" w:themeColor="text1"/>
                <w:sz w:val="24"/>
                <w:szCs w:val="28"/>
              </w:rPr>
              <w:t>he evidence indicates that blight is considerably more widespread than the safeguarded area and Voluntary Purchase Zone (VPZ), with most blight left uncompensated and therefore with its cost borne by individuals.</w:t>
            </w:r>
          </w:p>
          <w:p w:rsidR="008B2D4C" w:rsidRPr="008B2D4C" w:rsidRDefault="008B2D4C" w:rsidP="008B2D4C">
            <w:pPr>
              <w:pStyle w:val="ListParagraph"/>
              <w:ind w:left="360"/>
              <w:rPr>
                <w:color w:val="000000" w:themeColor="text1"/>
                <w:sz w:val="24"/>
                <w:szCs w:val="28"/>
              </w:rPr>
            </w:pPr>
            <w:r w:rsidRPr="008B2D4C">
              <w:rPr>
                <w:color w:val="000000" w:themeColor="text1"/>
                <w:sz w:val="24"/>
                <w:szCs w:val="28"/>
              </w:rPr>
              <w:t> </w:t>
            </w:r>
          </w:p>
          <w:p w:rsidR="008B2D4C" w:rsidRPr="008B2D4C" w:rsidRDefault="008B2D4C" w:rsidP="008B2D4C">
            <w:pPr>
              <w:pStyle w:val="ListParagraph"/>
              <w:numPr>
                <w:ilvl w:val="0"/>
                <w:numId w:val="2"/>
              </w:numPr>
              <w:rPr>
                <w:color w:val="000000" w:themeColor="text1"/>
                <w:sz w:val="24"/>
                <w:szCs w:val="28"/>
              </w:rPr>
            </w:pPr>
            <w:r>
              <w:rPr>
                <w:color w:val="000000" w:themeColor="text1"/>
                <w:sz w:val="24"/>
                <w:szCs w:val="28"/>
              </w:rPr>
              <w:t>We/I would like to highlight t</w:t>
            </w:r>
            <w:r w:rsidRPr="008B2D4C">
              <w:rPr>
                <w:color w:val="000000" w:themeColor="text1"/>
                <w:sz w:val="24"/>
                <w:szCs w:val="28"/>
              </w:rPr>
              <w:t>he proposed VPZ is determined by a simple geographic boundary (of 120m from the line), restricted to rural areas only (excluding urban areas and areas over tunnels).</w:t>
            </w:r>
          </w:p>
          <w:p w:rsidR="008B2D4C" w:rsidRPr="008B2D4C" w:rsidRDefault="008B2D4C" w:rsidP="008B2D4C">
            <w:pPr>
              <w:pStyle w:val="ListParagraph"/>
              <w:ind w:left="360"/>
              <w:rPr>
                <w:color w:val="000000" w:themeColor="text1"/>
                <w:sz w:val="24"/>
                <w:szCs w:val="28"/>
              </w:rPr>
            </w:pPr>
            <w:r w:rsidRPr="008B2D4C">
              <w:rPr>
                <w:color w:val="000000" w:themeColor="text1"/>
                <w:sz w:val="24"/>
                <w:szCs w:val="28"/>
              </w:rPr>
              <w:t>Plainly there is no possibility of more than a small fraction of blight being covered by a 120m VPZ (in rural areas) and none in urban or bored tunn</w:t>
            </w:r>
            <w:r>
              <w:rPr>
                <w:color w:val="000000" w:themeColor="text1"/>
                <w:sz w:val="24"/>
                <w:szCs w:val="28"/>
              </w:rPr>
              <w:t>elled areas, as discussed below;</w:t>
            </w:r>
          </w:p>
          <w:p w:rsidR="008B2D4C" w:rsidRPr="008B2D4C" w:rsidRDefault="008B2D4C" w:rsidP="008B2D4C">
            <w:pPr>
              <w:pStyle w:val="ListParagraph"/>
              <w:numPr>
                <w:ilvl w:val="1"/>
                <w:numId w:val="2"/>
              </w:numPr>
              <w:rPr>
                <w:color w:val="000000" w:themeColor="text1"/>
                <w:sz w:val="24"/>
                <w:szCs w:val="28"/>
              </w:rPr>
            </w:pPr>
            <w:r>
              <w:rPr>
                <w:color w:val="000000" w:themeColor="text1"/>
                <w:sz w:val="24"/>
                <w:szCs w:val="28"/>
              </w:rPr>
              <w:t>We/I would like to raise that in conclusion</w:t>
            </w:r>
            <w:r w:rsidRPr="008B2D4C">
              <w:rPr>
                <w:color w:val="000000" w:themeColor="text1"/>
                <w:sz w:val="24"/>
                <w:szCs w:val="28"/>
              </w:rPr>
              <w:t xml:space="preserve"> from the available evidence that to deliver against the various Government promises, there should not be an arbitrary distance limit, but the criterion for inclusion should be that the property has its market value adversely affected. Eligibility should be based on incurring ‘loss in market value’ and include all blighted properties (urban, rural, and those over tunnels).</w:t>
            </w:r>
          </w:p>
          <w:p w:rsidR="008B2D4C" w:rsidRDefault="008B2D4C" w:rsidP="008B2D4C">
            <w:pPr>
              <w:pStyle w:val="ListParagraph"/>
              <w:numPr>
                <w:ilvl w:val="1"/>
                <w:numId w:val="2"/>
              </w:numPr>
              <w:rPr>
                <w:color w:val="000000" w:themeColor="text1"/>
                <w:sz w:val="24"/>
                <w:szCs w:val="28"/>
              </w:rPr>
            </w:pPr>
            <w:r>
              <w:rPr>
                <w:color w:val="000000" w:themeColor="text1"/>
                <w:sz w:val="24"/>
                <w:szCs w:val="28"/>
              </w:rPr>
              <w:t>We/I would also like to highlight the g</w:t>
            </w:r>
            <w:r w:rsidRPr="008B2D4C">
              <w:rPr>
                <w:color w:val="000000" w:themeColor="text1"/>
                <w:sz w:val="24"/>
                <w:szCs w:val="28"/>
              </w:rPr>
              <w:t xml:space="preserve">overnment are taking a contradictory position on the boundary </w:t>
            </w:r>
            <w:proofErr w:type="spellStart"/>
            <w:r w:rsidRPr="008B2D4C">
              <w:rPr>
                <w:color w:val="000000" w:themeColor="text1"/>
                <w:sz w:val="24"/>
                <w:szCs w:val="28"/>
              </w:rPr>
              <w:t>ie</w:t>
            </w:r>
            <w:proofErr w:type="spellEnd"/>
            <w:r w:rsidRPr="008B2D4C">
              <w:rPr>
                <w:color w:val="000000" w:themeColor="text1"/>
                <w:sz w:val="24"/>
                <w:szCs w:val="28"/>
              </w:rPr>
              <w:t xml:space="preserve"> for VPZ an arbitrary cut off is used irrespective of topography, </w:t>
            </w:r>
            <w:proofErr w:type="spellStart"/>
            <w:r w:rsidRPr="008B2D4C">
              <w:rPr>
                <w:color w:val="000000" w:themeColor="text1"/>
                <w:sz w:val="24"/>
                <w:szCs w:val="28"/>
              </w:rPr>
              <w:t>ie</w:t>
            </w:r>
            <w:proofErr w:type="spellEnd"/>
            <w:r w:rsidRPr="008B2D4C">
              <w:rPr>
                <w:color w:val="000000" w:themeColor="text1"/>
                <w:sz w:val="24"/>
                <w:szCs w:val="28"/>
              </w:rPr>
              <w:t xml:space="preserve"> the lie of the land and HS2’s configuration (</w:t>
            </w:r>
            <w:proofErr w:type="spellStart"/>
            <w:r w:rsidRPr="008B2D4C">
              <w:rPr>
                <w:color w:val="000000" w:themeColor="text1"/>
                <w:sz w:val="24"/>
                <w:szCs w:val="28"/>
              </w:rPr>
              <w:t>eg</w:t>
            </w:r>
            <w:proofErr w:type="spellEnd"/>
            <w:r w:rsidRPr="008B2D4C">
              <w:rPr>
                <w:color w:val="000000" w:themeColor="text1"/>
                <w:sz w:val="24"/>
                <w:szCs w:val="28"/>
              </w:rPr>
              <w:t xml:space="preserve"> in a cutting, or on a viaduct) while under the "need to sell" scheme it is argued a simple geographic yardstick is inappropriate. This was confirmed in the past by HS2 </w:t>
            </w:r>
            <w:proofErr w:type="spellStart"/>
            <w:r w:rsidRPr="008B2D4C">
              <w:rPr>
                <w:color w:val="000000" w:themeColor="text1"/>
                <w:sz w:val="24"/>
                <w:szCs w:val="28"/>
              </w:rPr>
              <w:t>Ltd’s</w:t>
            </w:r>
            <w:proofErr w:type="spellEnd"/>
            <w:r w:rsidRPr="008B2D4C">
              <w:rPr>
                <w:color w:val="000000" w:themeColor="text1"/>
                <w:sz w:val="24"/>
                <w:szCs w:val="28"/>
              </w:rPr>
              <w:t xml:space="preserve"> Manager of EHS23 who gave evidence (to the appeal hearing against HS2 </w:t>
            </w:r>
            <w:proofErr w:type="spellStart"/>
            <w:r w:rsidRPr="008B2D4C">
              <w:rPr>
                <w:color w:val="000000" w:themeColor="text1"/>
                <w:sz w:val="24"/>
                <w:szCs w:val="28"/>
              </w:rPr>
              <w:t>Ltd’s</w:t>
            </w:r>
            <w:proofErr w:type="spellEnd"/>
            <w:r w:rsidRPr="008B2D4C">
              <w:rPr>
                <w:color w:val="000000" w:themeColor="text1"/>
                <w:sz w:val="24"/>
                <w:szCs w:val="28"/>
              </w:rPr>
              <w:t> failure to provide information) that distance is not a reasonable basis to judge the effects of generalised blight.</w:t>
            </w:r>
          </w:p>
          <w:p w:rsidR="008B2D4C" w:rsidRPr="008B2D4C" w:rsidRDefault="008B2D4C" w:rsidP="008B2D4C">
            <w:pPr>
              <w:pStyle w:val="ListParagraph"/>
              <w:ind w:left="1080"/>
              <w:rPr>
                <w:color w:val="000000" w:themeColor="text1"/>
                <w:sz w:val="24"/>
                <w:szCs w:val="28"/>
              </w:rPr>
            </w:pPr>
          </w:p>
          <w:p w:rsidR="008B2D4C" w:rsidRDefault="008B2D4C" w:rsidP="008B2D4C">
            <w:pPr>
              <w:pStyle w:val="ListParagraph"/>
              <w:numPr>
                <w:ilvl w:val="0"/>
                <w:numId w:val="2"/>
              </w:numPr>
              <w:rPr>
                <w:color w:val="000000" w:themeColor="text1"/>
                <w:sz w:val="24"/>
                <w:szCs w:val="28"/>
              </w:rPr>
            </w:pPr>
            <w:r w:rsidRPr="008B2D4C">
              <w:rPr>
                <w:color w:val="000000" w:themeColor="text1"/>
                <w:sz w:val="24"/>
                <w:szCs w:val="28"/>
              </w:rPr>
              <w:t>When the EHS scheme was in operation, it was demonstrated that blight (which had to be greater than 15% to qualify) extended at least as far as 700m.  Evidence from HS1 suggested that blight extended up to 600m (from HS1 EHS evidence). The blight cases did not reduce over the distance examined so the cases over the 120m were not outliers. The average distance for successful EHS cases is estimated at 338m</w:t>
            </w:r>
          </w:p>
          <w:p w:rsidR="008B2D4C" w:rsidRDefault="008B2D4C" w:rsidP="008B2D4C">
            <w:pPr>
              <w:rPr>
                <w:color w:val="000000" w:themeColor="text1"/>
                <w:sz w:val="24"/>
                <w:szCs w:val="28"/>
              </w:rPr>
            </w:pPr>
          </w:p>
          <w:p w:rsidR="008B2D4C" w:rsidRDefault="008B2D4C" w:rsidP="008B2D4C">
            <w:pPr>
              <w:rPr>
                <w:b/>
                <w:color w:val="000000" w:themeColor="text1"/>
                <w:sz w:val="24"/>
                <w:szCs w:val="28"/>
              </w:rPr>
            </w:pPr>
            <w:r w:rsidRPr="008B2D4C">
              <w:rPr>
                <w:b/>
                <w:color w:val="000000" w:themeColor="text1"/>
                <w:sz w:val="24"/>
                <w:szCs w:val="28"/>
              </w:rPr>
              <w:t>Properties Above Tunnels</w:t>
            </w:r>
          </w:p>
          <w:p w:rsidR="008B2D4C" w:rsidRDefault="008B2D4C" w:rsidP="008B2D4C">
            <w:pPr>
              <w:rPr>
                <w:b/>
                <w:color w:val="000000" w:themeColor="text1"/>
                <w:sz w:val="24"/>
                <w:szCs w:val="28"/>
              </w:rPr>
            </w:pPr>
          </w:p>
          <w:p w:rsidR="008B2D4C" w:rsidRDefault="008B2D4C" w:rsidP="008B2D4C">
            <w:pPr>
              <w:pStyle w:val="ListParagraph"/>
              <w:numPr>
                <w:ilvl w:val="0"/>
                <w:numId w:val="2"/>
              </w:numPr>
              <w:rPr>
                <w:color w:val="000000" w:themeColor="text1"/>
                <w:sz w:val="24"/>
                <w:szCs w:val="28"/>
              </w:rPr>
            </w:pPr>
            <w:r w:rsidRPr="008B2D4C">
              <w:rPr>
                <w:color w:val="000000" w:themeColor="text1"/>
                <w:sz w:val="24"/>
                <w:szCs w:val="28"/>
              </w:rPr>
              <w:t>As responses to previous consultations have made clear, there is no compensation available for blight for properties over tunnels (other than at portals). The unavailability of compensation is unsatisfactory.</w:t>
            </w:r>
          </w:p>
          <w:p w:rsidR="008B2D4C" w:rsidRPr="008B2D4C" w:rsidRDefault="008B2D4C" w:rsidP="008B2D4C">
            <w:pPr>
              <w:pStyle w:val="ListParagraph"/>
              <w:ind w:left="360"/>
              <w:rPr>
                <w:color w:val="000000" w:themeColor="text1"/>
                <w:sz w:val="24"/>
                <w:szCs w:val="28"/>
              </w:rPr>
            </w:pPr>
          </w:p>
          <w:p w:rsidR="008B2D4C" w:rsidRDefault="008B2D4C" w:rsidP="008B2D4C">
            <w:pPr>
              <w:pStyle w:val="ListParagraph"/>
              <w:numPr>
                <w:ilvl w:val="0"/>
                <w:numId w:val="2"/>
              </w:numPr>
              <w:rPr>
                <w:color w:val="000000" w:themeColor="text1"/>
                <w:sz w:val="24"/>
                <w:szCs w:val="28"/>
              </w:rPr>
            </w:pPr>
            <w:r w:rsidRPr="008B2D4C">
              <w:rPr>
                <w:color w:val="000000" w:themeColor="text1"/>
                <w:sz w:val="24"/>
                <w:szCs w:val="28"/>
              </w:rPr>
              <w:t xml:space="preserve">The tunnel guarantees that are offered are solely about reassurance for tunnel works (and do not even contain reference to train operations). </w:t>
            </w:r>
            <w:proofErr w:type="gramStart"/>
            <w:r w:rsidRPr="008B2D4C">
              <w:rPr>
                <w:color w:val="000000" w:themeColor="text1"/>
                <w:sz w:val="24"/>
                <w:szCs w:val="28"/>
              </w:rPr>
              <w:t>However</w:t>
            </w:r>
            <w:proofErr w:type="gramEnd"/>
            <w:r w:rsidRPr="008B2D4C">
              <w:rPr>
                <w:color w:val="000000" w:themeColor="text1"/>
                <w:sz w:val="24"/>
                <w:szCs w:val="28"/>
              </w:rPr>
              <w:t xml:space="preserve"> there is likely to be aversion to being over a tunnel, and dealing with remedial works, noise, vibration, etc. Some properties will suffer substantial loss in value from not being allowed development that involves sub-soil works.</w:t>
            </w:r>
          </w:p>
          <w:p w:rsidR="008B2D4C" w:rsidRPr="008B2D4C" w:rsidRDefault="008B2D4C" w:rsidP="008B2D4C">
            <w:pPr>
              <w:rPr>
                <w:color w:val="000000" w:themeColor="text1"/>
                <w:sz w:val="24"/>
                <w:szCs w:val="28"/>
              </w:rPr>
            </w:pPr>
          </w:p>
          <w:p w:rsidR="008B2D4C" w:rsidRDefault="008B2D4C" w:rsidP="008B2D4C">
            <w:pPr>
              <w:pStyle w:val="ListParagraph"/>
              <w:numPr>
                <w:ilvl w:val="0"/>
                <w:numId w:val="2"/>
              </w:numPr>
              <w:rPr>
                <w:color w:val="000000" w:themeColor="text1"/>
                <w:sz w:val="24"/>
                <w:szCs w:val="28"/>
              </w:rPr>
            </w:pPr>
            <w:r w:rsidRPr="008B2D4C">
              <w:rPr>
                <w:color w:val="000000" w:themeColor="text1"/>
                <w:sz w:val="24"/>
                <w:szCs w:val="28"/>
              </w:rPr>
              <w:t xml:space="preserve">In practice property owners may suffer uncompensated damage, anxiety concerning whether they will be compensated, and may suffer the stress of noise and vibration of the tunnelling and the operation of the railway. This means that many properties over the line are and will be blighted – potential purchases will require a discount from </w:t>
            </w:r>
            <w:proofErr w:type="spellStart"/>
            <w:r w:rsidRPr="008B2D4C">
              <w:rPr>
                <w:color w:val="000000" w:themeColor="text1"/>
                <w:sz w:val="24"/>
                <w:szCs w:val="28"/>
              </w:rPr>
              <w:t>unblighted</w:t>
            </w:r>
            <w:proofErr w:type="spellEnd"/>
            <w:r w:rsidRPr="008B2D4C">
              <w:rPr>
                <w:color w:val="000000" w:themeColor="text1"/>
                <w:sz w:val="24"/>
                <w:szCs w:val="28"/>
              </w:rPr>
              <w:t xml:space="preserve"> values to suffer the risk and stress. This is ignored by the Government’s compensation proposals. As a </w:t>
            </w:r>
            <w:proofErr w:type="gramStart"/>
            <w:r w:rsidRPr="008B2D4C">
              <w:rPr>
                <w:color w:val="000000" w:themeColor="text1"/>
                <w:sz w:val="24"/>
                <w:szCs w:val="28"/>
              </w:rPr>
              <w:t>result</w:t>
            </w:r>
            <w:proofErr w:type="gramEnd"/>
            <w:r w:rsidRPr="008B2D4C">
              <w:rPr>
                <w:color w:val="000000" w:themeColor="text1"/>
                <w:sz w:val="24"/>
                <w:szCs w:val="28"/>
              </w:rPr>
              <w:t xml:space="preserve"> the tunnelling guarantee must inevitably fail to give sufficient confidence to overcome blight</w:t>
            </w:r>
            <w:r w:rsidR="00946883">
              <w:rPr>
                <w:color w:val="000000" w:themeColor="text1"/>
                <w:sz w:val="24"/>
                <w:szCs w:val="28"/>
              </w:rPr>
              <w:t>.</w:t>
            </w:r>
          </w:p>
          <w:p w:rsidR="00946883" w:rsidRPr="00946883" w:rsidRDefault="00946883" w:rsidP="00946883">
            <w:pPr>
              <w:rPr>
                <w:color w:val="000000" w:themeColor="text1"/>
                <w:sz w:val="24"/>
                <w:szCs w:val="28"/>
              </w:rPr>
            </w:pPr>
          </w:p>
          <w:p w:rsidR="008B2D4C" w:rsidRDefault="008B2D4C" w:rsidP="008B2D4C">
            <w:pPr>
              <w:pStyle w:val="ListParagraph"/>
              <w:numPr>
                <w:ilvl w:val="0"/>
                <w:numId w:val="2"/>
              </w:numPr>
              <w:rPr>
                <w:color w:val="000000" w:themeColor="text1"/>
                <w:sz w:val="24"/>
                <w:szCs w:val="28"/>
              </w:rPr>
            </w:pPr>
            <w:r w:rsidRPr="008B2D4C">
              <w:rPr>
                <w:color w:val="000000" w:themeColor="text1"/>
                <w:sz w:val="24"/>
                <w:szCs w:val="28"/>
              </w:rPr>
              <w:t>Properties over tunnels should be eligible for generalised blight compensation like any other property that is in the Safeguarded Zone.</w:t>
            </w:r>
          </w:p>
          <w:p w:rsidR="00946883" w:rsidRPr="00946883" w:rsidRDefault="00946883" w:rsidP="00946883">
            <w:pPr>
              <w:rPr>
                <w:color w:val="000000" w:themeColor="text1"/>
                <w:sz w:val="24"/>
                <w:szCs w:val="28"/>
              </w:rPr>
            </w:pPr>
          </w:p>
          <w:p w:rsidR="008B2D4C" w:rsidRDefault="008B2D4C" w:rsidP="008B2D4C">
            <w:pPr>
              <w:pStyle w:val="ListParagraph"/>
              <w:numPr>
                <w:ilvl w:val="0"/>
                <w:numId w:val="2"/>
              </w:numPr>
              <w:rPr>
                <w:color w:val="000000" w:themeColor="text1"/>
                <w:sz w:val="24"/>
                <w:szCs w:val="28"/>
              </w:rPr>
            </w:pPr>
            <w:r w:rsidRPr="008B2D4C">
              <w:rPr>
                <w:color w:val="000000" w:themeColor="text1"/>
                <w:sz w:val="24"/>
                <w:szCs w:val="28"/>
              </w:rPr>
              <w:t>The provision of pre-works surveys gives a basis against which subsequent damage can be identified. This is positive in that it diminishes the scope for HS2 Ltd to contest that HS2 are the cause of damage when it is, but it does not eliminate it. The reality is that attribution of damage can be complex. HS2 Ltd can be expected to try to avoid compensation where possible – with the result that property owners may face expensive disputes on liability with uncertain outcomes.</w:t>
            </w:r>
          </w:p>
          <w:p w:rsidR="00946883" w:rsidRPr="00946883" w:rsidRDefault="00946883" w:rsidP="00946883">
            <w:pPr>
              <w:rPr>
                <w:color w:val="000000" w:themeColor="text1"/>
                <w:sz w:val="24"/>
                <w:szCs w:val="28"/>
              </w:rPr>
            </w:pPr>
          </w:p>
          <w:p w:rsidR="008B2D4C" w:rsidRDefault="008B2D4C" w:rsidP="008B2D4C">
            <w:pPr>
              <w:pStyle w:val="ListParagraph"/>
              <w:numPr>
                <w:ilvl w:val="0"/>
                <w:numId w:val="2"/>
              </w:numPr>
              <w:rPr>
                <w:color w:val="000000" w:themeColor="text1"/>
                <w:sz w:val="24"/>
                <w:szCs w:val="28"/>
              </w:rPr>
            </w:pPr>
            <w:r w:rsidRPr="008B2D4C">
              <w:rPr>
                <w:color w:val="000000" w:themeColor="text1"/>
                <w:sz w:val="24"/>
                <w:szCs w:val="28"/>
              </w:rPr>
              <w:t>Currently only a token sum is offered for subsoil compensation and the £250 contribution towards legal costs is unlikely to be adequate should any issues of substance emerge. In practice, for some properties the potential for sub-soil dev</w:t>
            </w:r>
            <w:r w:rsidR="00946883">
              <w:rPr>
                <w:color w:val="000000" w:themeColor="text1"/>
                <w:sz w:val="24"/>
                <w:szCs w:val="28"/>
              </w:rPr>
              <w:t>elopment will be of high value.</w:t>
            </w:r>
          </w:p>
          <w:p w:rsidR="00946883" w:rsidRPr="00946883" w:rsidRDefault="00946883" w:rsidP="00946883">
            <w:pPr>
              <w:pStyle w:val="ListParagraph"/>
              <w:rPr>
                <w:color w:val="000000" w:themeColor="text1"/>
                <w:sz w:val="24"/>
                <w:szCs w:val="28"/>
              </w:rPr>
            </w:pPr>
          </w:p>
          <w:p w:rsidR="00946883" w:rsidRDefault="00946883" w:rsidP="00946883">
            <w:pPr>
              <w:rPr>
                <w:b/>
                <w:color w:val="000000" w:themeColor="text1"/>
                <w:sz w:val="24"/>
                <w:szCs w:val="28"/>
              </w:rPr>
            </w:pPr>
            <w:r w:rsidRPr="00946883">
              <w:rPr>
                <w:b/>
                <w:color w:val="000000" w:themeColor="text1"/>
                <w:sz w:val="24"/>
                <w:szCs w:val="28"/>
              </w:rPr>
              <w:t>Failure to Compensate for Construction Blight</w:t>
            </w:r>
          </w:p>
          <w:p w:rsidR="00946883" w:rsidRDefault="00946883" w:rsidP="00946883">
            <w:pPr>
              <w:rPr>
                <w:b/>
                <w:color w:val="000000" w:themeColor="text1"/>
                <w:sz w:val="24"/>
                <w:szCs w:val="28"/>
              </w:rPr>
            </w:pPr>
          </w:p>
          <w:p w:rsidR="00946883" w:rsidRDefault="00946883" w:rsidP="00946883">
            <w:pPr>
              <w:pStyle w:val="ListParagraph"/>
              <w:numPr>
                <w:ilvl w:val="0"/>
                <w:numId w:val="2"/>
              </w:numPr>
              <w:rPr>
                <w:color w:val="000000" w:themeColor="text1"/>
                <w:sz w:val="24"/>
                <w:szCs w:val="28"/>
              </w:rPr>
            </w:pPr>
            <w:r w:rsidRPr="00946883">
              <w:rPr>
                <w:color w:val="000000" w:themeColor="text1"/>
                <w:sz w:val="24"/>
                <w:szCs w:val="28"/>
              </w:rPr>
              <w:t>Currently all that is being offered in relation to construction blight is the operation of a Construction Code and a small claims court arrangement – but the latter appears only to facilitate obtaining existing legal rights.</w:t>
            </w:r>
          </w:p>
          <w:p w:rsidR="00946883" w:rsidRPr="00946883" w:rsidRDefault="00946883" w:rsidP="00946883">
            <w:pPr>
              <w:pStyle w:val="ListParagraph"/>
              <w:ind w:left="360"/>
              <w:rPr>
                <w:color w:val="000000" w:themeColor="text1"/>
                <w:sz w:val="24"/>
                <w:szCs w:val="28"/>
              </w:rPr>
            </w:pPr>
          </w:p>
          <w:p w:rsidR="00946883" w:rsidRDefault="00946883" w:rsidP="00946883">
            <w:pPr>
              <w:pStyle w:val="ListParagraph"/>
              <w:numPr>
                <w:ilvl w:val="0"/>
                <w:numId w:val="2"/>
              </w:numPr>
              <w:rPr>
                <w:color w:val="000000" w:themeColor="text1"/>
                <w:sz w:val="24"/>
                <w:szCs w:val="28"/>
              </w:rPr>
            </w:pPr>
            <w:r w:rsidRPr="00946883">
              <w:rPr>
                <w:color w:val="000000" w:themeColor="text1"/>
                <w:sz w:val="24"/>
                <w:szCs w:val="28"/>
              </w:rPr>
              <w:t>In many locations the period of construction, and the nuisance and loss of amenity that accompanies it, is very extensive – 10 years. Notwithstanding, some people will need to remain in their properties rather than move out of the area, sometimes simply because they cannot afford to fund the loss in value of their property. The compensation proposals offer no recompense for such people.</w:t>
            </w:r>
          </w:p>
          <w:p w:rsidR="00946883" w:rsidRPr="00946883" w:rsidRDefault="00946883" w:rsidP="00946883">
            <w:pPr>
              <w:rPr>
                <w:color w:val="000000" w:themeColor="text1"/>
                <w:sz w:val="24"/>
                <w:szCs w:val="28"/>
              </w:rPr>
            </w:pPr>
          </w:p>
          <w:p w:rsidR="008B2D4C" w:rsidRPr="00946883" w:rsidRDefault="00946883" w:rsidP="008B2D4C">
            <w:pPr>
              <w:pStyle w:val="ListParagraph"/>
              <w:numPr>
                <w:ilvl w:val="0"/>
                <w:numId w:val="2"/>
              </w:numPr>
              <w:rPr>
                <w:color w:val="000000" w:themeColor="text1"/>
                <w:sz w:val="24"/>
                <w:szCs w:val="28"/>
              </w:rPr>
            </w:pPr>
            <w:r w:rsidRPr="00946883">
              <w:rPr>
                <w:color w:val="000000" w:themeColor="text1"/>
                <w:sz w:val="24"/>
                <w:szCs w:val="28"/>
              </w:rPr>
              <w:t>There should be compensation provided both to those whose properties are adversely affected by construction, and to communities that are blighted. </w:t>
            </w:r>
          </w:p>
          <w:p w:rsidR="008B2D4C" w:rsidRPr="008B2D4C" w:rsidRDefault="008B2D4C" w:rsidP="008B2D4C">
            <w:pPr>
              <w:rPr>
                <w:color w:val="000000" w:themeColor="text1"/>
                <w:sz w:val="24"/>
                <w:szCs w:val="28"/>
              </w:rPr>
            </w:pPr>
          </w:p>
        </w:tc>
      </w:tr>
    </w:tbl>
    <w:p w:rsidR="00634967" w:rsidRDefault="00A8065B"/>
    <w:sectPr w:rsidR="00634967" w:rsidSect="00F4094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188"/>
    <w:multiLevelType w:val="multilevel"/>
    <w:tmpl w:val="93A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966BA"/>
    <w:multiLevelType w:val="hybridMultilevel"/>
    <w:tmpl w:val="7A9AD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6C3D3F"/>
    <w:multiLevelType w:val="hybridMultilevel"/>
    <w:tmpl w:val="9766CC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2711A1"/>
    <w:multiLevelType w:val="hybridMultilevel"/>
    <w:tmpl w:val="2854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904FA"/>
    <w:multiLevelType w:val="hybridMultilevel"/>
    <w:tmpl w:val="43D6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F4D0D"/>
    <w:multiLevelType w:val="hybridMultilevel"/>
    <w:tmpl w:val="D5246D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40"/>
    <w:rsid w:val="00206EBB"/>
    <w:rsid w:val="003E3DC3"/>
    <w:rsid w:val="004C2F0B"/>
    <w:rsid w:val="00516CC8"/>
    <w:rsid w:val="008056D6"/>
    <w:rsid w:val="008B2D4C"/>
    <w:rsid w:val="008C30E7"/>
    <w:rsid w:val="00946883"/>
    <w:rsid w:val="00980927"/>
    <w:rsid w:val="00A74EDC"/>
    <w:rsid w:val="00A8065B"/>
    <w:rsid w:val="00E717B3"/>
    <w:rsid w:val="00F40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B782"/>
  <w15:chartTrackingRefBased/>
  <w15:docId w15:val="{4FD265B2-9C88-4854-990C-03F7E316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0940"/>
  </w:style>
  <w:style w:type="paragraph" w:styleId="Heading1">
    <w:name w:val="heading 1"/>
    <w:basedOn w:val="Normal"/>
    <w:link w:val="Heading1Char"/>
    <w:uiPriority w:val="9"/>
    <w:qFormat/>
    <w:rsid w:val="00A74E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940"/>
    <w:pPr>
      <w:ind w:left="720"/>
      <w:contextualSpacing/>
    </w:pPr>
  </w:style>
  <w:style w:type="table" w:styleId="TableGrid">
    <w:name w:val="Table Grid"/>
    <w:basedOn w:val="TableNormal"/>
    <w:uiPriority w:val="39"/>
    <w:rsid w:val="00F4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C2F0B"/>
  </w:style>
  <w:style w:type="character" w:customStyle="1" w:styleId="Heading1Char">
    <w:name w:val="Heading 1 Char"/>
    <w:basedOn w:val="DefaultParagraphFont"/>
    <w:link w:val="Heading1"/>
    <w:uiPriority w:val="9"/>
    <w:rsid w:val="00A74ED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8065B"/>
    <w:rPr>
      <w:color w:val="0563C1" w:themeColor="hyperlink"/>
      <w:u w:val="single"/>
    </w:rPr>
  </w:style>
  <w:style w:type="character" w:styleId="FollowedHyperlink">
    <w:name w:val="FollowedHyperlink"/>
    <w:basedOn w:val="DefaultParagraphFont"/>
    <w:uiPriority w:val="99"/>
    <w:semiHidden/>
    <w:unhideWhenUsed/>
    <w:rsid w:val="00A806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63">
      <w:bodyDiv w:val="1"/>
      <w:marLeft w:val="0"/>
      <w:marRight w:val="0"/>
      <w:marTop w:val="0"/>
      <w:marBottom w:val="0"/>
      <w:divBdr>
        <w:top w:val="none" w:sz="0" w:space="0" w:color="auto"/>
        <w:left w:val="none" w:sz="0" w:space="0" w:color="auto"/>
        <w:bottom w:val="none" w:sz="0" w:space="0" w:color="auto"/>
        <w:right w:val="none" w:sz="0" w:space="0" w:color="auto"/>
      </w:divBdr>
      <w:divsChild>
        <w:div w:id="851728534">
          <w:marLeft w:val="0"/>
          <w:marRight w:val="0"/>
          <w:marTop w:val="0"/>
          <w:marBottom w:val="0"/>
          <w:divBdr>
            <w:top w:val="none" w:sz="0" w:space="0" w:color="auto"/>
            <w:left w:val="none" w:sz="0" w:space="0" w:color="auto"/>
            <w:bottom w:val="none" w:sz="0" w:space="0" w:color="auto"/>
            <w:right w:val="none" w:sz="0" w:space="0" w:color="auto"/>
          </w:divBdr>
        </w:div>
        <w:div w:id="1966422851">
          <w:marLeft w:val="0"/>
          <w:marRight w:val="0"/>
          <w:marTop w:val="0"/>
          <w:marBottom w:val="0"/>
          <w:divBdr>
            <w:top w:val="none" w:sz="0" w:space="0" w:color="auto"/>
            <w:left w:val="none" w:sz="0" w:space="0" w:color="auto"/>
            <w:bottom w:val="none" w:sz="0" w:space="0" w:color="auto"/>
            <w:right w:val="none" w:sz="0" w:space="0" w:color="auto"/>
          </w:divBdr>
          <w:divsChild>
            <w:div w:id="925576685">
              <w:marLeft w:val="0"/>
              <w:marRight w:val="0"/>
              <w:marTop w:val="0"/>
              <w:marBottom w:val="0"/>
              <w:divBdr>
                <w:top w:val="none" w:sz="0" w:space="0" w:color="auto"/>
                <w:left w:val="none" w:sz="0" w:space="0" w:color="auto"/>
                <w:bottom w:val="none" w:sz="0" w:space="0" w:color="auto"/>
                <w:right w:val="none" w:sz="0" w:space="0" w:color="auto"/>
              </w:divBdr>
              <w:divsChild>
                <w:div w:id="746340411">
                  <w:marLeft w:val="0"/>
                  <w:marRight w:val="0"/>
                  <w:marTop w:val="0"/>
                  <w:marBottom w:val="0"/>
                  <w:divBdr>
                    <w:top w:val="none" w:sz="0" w:space="0" w:color="auto"/>
                    <w:left w:val="none" w:sz="0" w:space="0" w:color="auto"/>
                    <w:bottom w:val="none" w:sz="0" w:space="0" w:color="auto"/>
                    <w:right w:val="none" w:sz="0" w:space="0" w:color="auto"/>
                  </w:divBdr>
                  <w:divsChild>
                    <w:div w:id="1121923657">
                      <w:marLeft w:val="0"/>
                      <w:marRight w:val="0"/>
                      <w:marTop w:val="0"/>
                      <w:marBottom w:val="0"/>
                      <w:divBdr>
                        <w:top w:val="none" w:sz="0" w:space="0" w:color="auto"/>
                        <w:left w:val="none" w:sz="0" w:space="0" w:color="auto"/>
                        <w:bottom w:val="none" w:sz="0" w:space="0" w:color="auto"/>
                        <w:right w:val="none" w:sz="0" w:space="0" w:color="auto"/>
                      </w:divBdr>
                      <w:divsChild>
                        <w:div w:id="242223513">
                          <w:marLeft w:val="0"/>
                          <w:marRight w:val="0"/>
                          <w:marTop w:val="280"/>
                          <w:marBottom w:val="280"/>
                          <w:divBdr>
                            <w:top w:val="none" w:sz="0" w:space="0" w:color="auto"/>
                            <w:left w:val="none" w:sz="0" w:space="0" w:color="auto"/>
                            <w:bottom w:val="none" w:sz="0" w:space="0" w:color="auto"/>
                            <w:right w:val="none" w:sz="0" w:space="0" w:color="auto"/>
                          </w:divBdr>
                        </w:div>
                        <w:div w:id="833571591">
                          <w:marLeft w:val="0"/>
                          <w:marRight w:val="0"/>
                          <w:marTop w:val="280"/>
                          <w:marBottom w:val="280"/>
                          <w:divBdr>
                            <w:top w:val="none" w:sz="0" w:space="0" w:color="auto"/>
                            <w:left w:val="none" w:sz="0" w:space="0" w:color="auto"/>
                            <w:bottom w:val="none" w:sz="0" w:space="0" w:color="auto"/>
                            <w:right w:val="none" w:sz="0" w:space="0" w:color="auto"/>
                          </w:divBdr>
                        </w:div>
                        <w:div w:id="1477719663">
                          <w:marLeft w:val="0"/>
                          <w:marRight w:val="0"/>
                          <w:marTop w:val="280"/>
                          <w:marBottom w:val="280"/>
                          <w:divBdr>
                            <w:top w:val="none" w:sz="0" w:space="0" w:color="auto"/>
                            <w:left w:val="none" w:sz="0" w:space="0" w:color="auto"/>
                            <w:bottom w:val="none" w:sz="0" w:space="0" w:color="auto"/>
                            <w:right w:val="none" w:sz="0" w:space="0" w:color="auto"/>
                          </w:divBdr>
                        </w:div>
                        <w:div w:id="1476027645">
                          <w:marLeft w:val="0"/>
                          <w:marRight w:val="0"/>
                          <w:marTop w:val="280"/>
                          <w:marBottom w:val="280"/>
                          <w:divBdr>
                            <w:top w:val="none" w:sz="0" w:space="0" w:color="auto"/>
                            <w:left w:val="none" w:sz="0" w:space="0" w:color="auto"/>
                            <w:bottom w:val="none" w:sz="0" w:space="0" w:color="auto"/>
                            <w:right w:val="none" w:sz="0" w:space="0" w:color="auto"/>
                          </w:divBdr>
                        </w:div>
                        <w:div w:id="1881892206">
                          <w:marLeft w:val="0"/>
                          <w:marRight w:val="0"/>
                          <w:marTop w:val="0"/>
                          <w:marBottom w:val="0"/>
                          <w:divBdr>
                            <w:top w:val="none" w:sz="0" w:space="0" w:color="auto"/>
                            <w:left w:val="none" w:sz="0" w:space="0" w:color="auto"/>
                            <w:bottom w:val="none" w:sz="0" w:space="0" w:color="auto"/>
                            <w:right w:val="none" w:sz="0" w:space="0" w:color="auto"/>
                          </w:divBdr>
                          <w:divsChild>
                            <w:div w:id="2048096531">
                              <w:marLeft w:val="0"/>
                              <w:marRight w:val="0"/>
                              <w:marTop w:val="0"/>
                              <w:marBottom w:val="0"/>
                              <w:divBdr>
                                <w:top w:val="none" w:sz="0" w:space="0" w:color="auto"/>
                                <w:left w:val="none" w:sz="0" w:space="0" w:color="auto"/>
                                <w:bottom w:val="none" w:sz="0" w:space="0" w:color="auto"/>
                                <w:right w:val="none" w:sz="0" w:space="0" w:color="auto"/>
                              </w:divBdr>
                              <w:divsChild>
                                <w:div w:id="1865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90688">
      <w:bodyDiv w:val="1"/>
      <w:marLeft w:val="0"/>
      <w:marRight w:val="0"/>
      <w:marTop w:val="0"/>
      <w:marBottom w:val="0"/>
      <w:divBdr>
        <w:top w:val="none" w:sz="0" w:space="0" w:color="auto"/>
        <w:left w:val="none" w:sz="0" w:space="0" w:color="auto"/>
        <w:bottom w:val="none" w:sz="0" w:space="0" w:color="auto"/>
        <w:right w:val="none" w:sz="0" w:space="0" w:color="auto"/>
      </w:divBdr>
    </w:div>
    <w:div w:id="381177822">
      <w:bodyDiv w:val="1"/>
      <w:marLeft w:val="0"/>
      <w:marRight w:val="0"/>
      <w:marTop w:val="0"/>
      <w:marBottom w:val="0"/>
      <w:divBdr>
        <w:top w:val="none" w:sz="0" w:space="0" w:color="auto"/>
        <w:left w:val="none" w:sz="0" w:space="0" w:color="auto"/>
        <w:bottom w:val="none" w:sz="0" w:space="0" w:color="auto"/>
        <w:right w:val="none" w:sz="0" w:space="0" w:color="auto"/>
      </w:divBdr>
      <w:divsChild>
        <w:div w:id="1326787260">
          <w:marLeft w:val="0"/>
          <w:marRight w:val="0"/>
          <w:marTop w:val="280"/>
          <w:marBottom w:val="280"/>
          <w:divBdr>
            <w:top w:val="none" w:sz="0" w:space="0" w:color="auto"/>
            <w:left w:val="none" w:sz="0" w:space="0" w:color="auto"/>
            <w:bottom w:val="none" w:sz="0" w:space="0" w:color="auto"/>
            <w:right w:val="none" w:sz="0" w:space="0" w:color="auto"/>
          </w:divBdr>
        </w:div>
      </w:divsChild>
    </w:div>
    <w:div w:id="978802492">
      <w:bodyDiv w:val="1"/>
      <w:marLeft w:val="0"/>
      <w:marRight w:val="0"/>
      <w:marTop w:val="0"/>
      <w:marBottom w:val="0"/>
      <w:divBdr>
        <w:top w:val="none" w:sz="0" w:space="0" w:color="auto"/>
        <w:left w:val="none" w:sz="0" w:space="0" w:color="auto"/>
        <w:bottom w:val="none" w:sz="0" w:space="0" w:color="auto"/>
        <w:right w:val="none" w:sz="0" w:space="0" w:color="auto"/>
      </w:divBdr>
      <w:divsChild>
        <w:div w:id="1184050008">
          <w:marLeft w:val="0"/>
          <w:marRight w:val="0"/>
          <w:marTop w:val="280"/>
          <w:marBottom w:val="280"/>
          <w:divBdr>
            <w:top w:val="none" w:sz="0" w:space="0" w:color="auto"/>
            <w:left w:val="none" w:sz="0" w:space="0" w:color="auto"/>
            <w:bottom w:val="none" w:sz="0" w:space="0" w:color="auto"/>
            <w:right w:val="none" w:sz="0" w:space="0" w:color="auto"/>
          </w:divBdr>
        </w:div>
        <w:div w:id="1570459652">
          <w:marLeft w:val="0"/>
          <w:marRight w:val="0"/>
          <w:marTop w:val="280"/>
          <w:marBottom w:val="280"/>
          <w:divBdr>
            <w:top w:val="none" w:sz="0" w:space="0" w:color="auto"/>
            <w:left w:val="none" w:sz="0" w:space="0" w:color="auto"/>
            <w:bottom w:val="none" w:sz="0" w:space="0" w:color="auto"/>
            <w:right w:val="none" w:sz="0" w:space="0" w:color="auto"/>
          </w:divBdr>
        </w:div>
        <w:div w:id="1530145092">
          <w:marLeft w:val="0"/>
          <w:marRight w:val="0"/>
          <w:marTop w:val="280"/>
          <w:marBottom w:val="280"/>
          <w:divBdr>
            <w:top w:val="none" w:sz="0" w:space="0" w:color="auto"/>
            <w:left w:val="none" w:sz="0" w:space="0" w:color="auto"/>
            <w:bottom w:val="none" w:sz="0" w:space="0" w:color="auto"/>
            <w:right w:val="none" w:sz="0" w:space="0" w:color="auto"/>
          </w:divBdr>
        </w:div>
      </w:divsChild>
    </w:div>
    <w:div w:id="1137841115">
      <w:bodyDiv w:val="1"/>
      <w:marLeft w:val="0"/>
      <w:marRight w:val="0"/>
      <w:marTop w:val="0"/>
      <w:marBottom w:val="0"/>
      <w:divBdr>
        <w:top w:val="none" w:sz="0" w:space="0" w:color="auto"/>
        <w:left w:val="none" w:sz="0" w:space="0" w:color="auto"/>
        <w:bottom w:val="none" w:sz="0" w:space="0" w:color="auto"/>
        <w:right w:val="none" w:sz="0" w:space="0" w:color="auto"/>
      </w:divBdr>
      <w:divsChild>
        <w:div w:id="1656058713">
          <w:marLeft w:val="0"/>
          <w:marRight w:val="0"/>
          <w:marTop w:val="0"/>
          <w:marBottom w:val="0"/>
          <w:divBdr>
            <w:top w:val="none" w:sz="0" w:space="0" w:color="auto"/>
            <w:left w:val="none" w:sz="0" w:space="0" w:color="auto"/>
            <w:bottom w:val="none" w:sz="0" w:space="0" w:color="auto"/>
            <w:right w:val="none" w:sz="0" w:space="0" w:color="auto"/>
          </w:divBdr>
        </w:div>
        <w:div w:id="780686480">
          <w:marLeft w:val="0"/>
          <w:marRight w:val="0"/>
          <w:marTop w:val="0"/>
          <w:marBottom w:val="0"/>
          <w:divBdr>
            <w:top w:val="none" w:sz="0" w:space="0" w:color="auto"/>
            <w:left w:val="none" w:sz="0" w:space="0" w:color="auto"/>
            <w:bottom w:val="none" w:sz="0" w:space="0" w:color="auto"/>
            <w:right w:val="none" w:sz="0" w:space="0" w:color="auto"/>
          </w:divBdr>
          <w:divsChild>
            <w:div w:id="33625199">
              <w:marLeft w:val="0"/>
              <w:marRight w:val="0"/>
              <w:marTop w:val="0"/>
              <w:marBottom w:val="0"/>
              <w:divBdr>
                <w:top w:val="none" w:sz="0" w:space="0" w:color="auto"/>
                <w:left w:val="none" w:sz="0" w:space="0" w:color="auto"/>
                <w:bottom w:val="none" w:sz="0" w:space="0" w:color="auto"/>
                <w:right w:val="none" w:sz="0" w:space="0" w:color="auto"/>
              </w:divBdr>
              <w:divsChild>
                <w:div w:id="877938142">
                  <w:marLeft w:val="0"/>
                  <w:marRight w:val="0"/>
                  <w:marTop w:val="0"/>
                  <w:marBottom w:val="0"/>
                  <w:divBdr>
                    <w:top w:val="none" w:sz="0" w:space="0" w:color="auto"/>
                    <w:left w:val="none" w:sz="0" w:space="0" w:color="auto"/>
                    <w:bottom w:val="none" w:sz="0" w:space="0" w:color="auto"/>
                    <w:right w:val="none" w:sz="0" w:space="0" w:color="auto"/>
                  </w:divBdr>
                  <w:divsChild>
                    <w:div w:id="1335643189">
                      <w:marLeft w:val="0"/>
                      <w:marRight w:val="0"/>
                      <w:marTop w:val="0"/>
                      <w:marBottom w:val="0"/>
                      <w:divBdr>
                        <w:top w:val="none" w:sz="0" w:space="0" w:color="auto"/>
                        <w:left w:val="none" w:sz="0" w:space="0" w:color="auto"/>
                        <w:bottom w:val="none" w:sz="0" w:space="0" w:color="auto"/>
                        <w:right w:val="none" w:sz="0" w:space="0" w:color="auto"/>
                      </w:divBdr>
                      <w:divsChild>
                        <w:div w:id="1328243302">
                          <w:marLeft w:val="0"/>
                          <w:marRight w:val="0"/>
                          <w:marTop w:val="280"/>
                          <w:marBottom w:val="280"/>
                          <w:divBdr>
                            <w:top w:val="none" w:sz="0" w:space="0" w:color="auto"/>
                            <w:left w:val="none" w:sz="0" w:space="0" w:color="auto"/>
                            <w:bottom w:val="none" w:sz="0" w:space="0" w:color="auto"/>
                            <w:right w:val="none" w:sz="0" w:space="0" w:color="auto"/>
                          </w:divBdr>
                        </w:div>
                        <w:div w:id="174227041">
                          <w:marLeft w:val="0"/>
                          <w:marRight w:val="0"/>
                          <w:marTop w:val="280"/>
                          <w:marBottom w:val="280"/>
                          <w:divBdr>
                            <w:top w:val="none" w:sz="0" w:space="0" w:color="auto"/>
                            <w:left w:val="none" w:sz="0" w:space="0" w:color="auto"/>
                            <w:bottom w:val="none" w:sz="0" w:space="0" w:color="auto"/>
                            <w:right w:val="none" w:sz="0" w:space="0" w:color="auto"/>
                          </w:divBdr>
                        </w:div>
                        <w:div w:id="1871407922">
                          <w:marLeft w:val="0"/>
                          <w:marRight w:val="0"/>
                          <w:marTop w:val="280"/>
                          <w:marBottom w:val="280"/>
                          <w:divBdr>
                            <w:top w:val="none" w:sz="0" w:space="0" w:color="auto"/>
                            <w:left w:val="none" w:sz="0" w:space="0" w:color="auto"/>
                            <w:bottom w:val="none" w:sz="0" w:space="0" w:color="auto"/>
                            <w:right w:val="none" w:sz="0" w:space="0" w:color="auto"/>
                          </w:divBdr>
                        </w:div>
                        <w:div w:id="214253251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567104820">
              <w:marLeft w:val="0"/>
              <w:marRight w:val="0"/>
              <w:marTop w:val="0"/>
              <w:marBottom w:val="0"/>
              <w:divBdr>
                <w:top w:val="none" w:sz="0" w:space="0" w:color="auto"/>
                <w:left w:val="none" w:sz="0" w:space="0" w:color="auto"/>
                <w:bottom w:val="none" w:sz="0" w:space="0" w:color="auto"/>
                <w:right w:val="none" w:sz="0" w:space="0" w:color="auto"/>
              </w:divBdr>
              <w:divsChild>
                <w:div w:id="847058548">
                  <w:marLeft w:val="0"/>
                  <w:marRight w:val="0"/>
                  <w:marTop w:val="0"/>
                  <w:marBottom w:val="0"/>
                  <w:divBdr>
                    <w:top w:val="none" w:sz="0" w:space="0" w:color="auto"/>
                    <w:left w:val="none" w:sz="0" w:space="0" w:color="auto"/>
                    <w:bottom w:val="none" w:sz="0" w:space="0" w:color="auto"/>
                    <w:right w:val="none" w:sz="0" w:space="0" w:color="auto"/>
                  </w:divBdr>
                  <w:divsChild>
                    <w:div w:id="1265066129">
                      <w:marLeft w:val="0"/>
                      <w:marRight w:val="0"/>
                      <w:marTop w:val="0"/>
                      <w:marBottom w:val="0"/>
                      <w:divBdr>
                        <w:top w:val="none" w:sz="0" w:space="0" w:color="auto"/>
                        <w:left w:val="none" w:sz="0" w:space="0" w:color="auto"/>
                        <w:bottom w:val="none" w:sz="0" w:space="0" w:color="auto"/>
                        <w:right w:val="none" w:sz="0" w:space="0" w:color="auto"/>
                      </w:divBdr>
                      <w:divsChild>
                        <w:div w:id="197933906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consultations/hs2-crewe-to-manchester-west-midlands-to-leeds-property-consultation-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odlesfordhs2@gmail.com" TargetMode="External"/><Relationship Id="rId5" Type="http://schemas.openxmlformats.org/officeDocument/2006/relationships/hyperlink" Target="https://www.facebook.com/groups/sowhaths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hope</dc:creator>
  <cp:keywords/>
  <dc:description/>
  <cp:lastModifiedBy>tom hope</cp:lastModifiedBy>
  <cp:revision>9</cp:revision>
  <dcterms:created xsi:type="dcterms:W3CDTF">2017-02-06T12:49:00Z</dcterms:created>
  <dcterms:modified xsi:type="dcterms:W3CDTF">2017-02-19T21:00:00Z</dcterms:modified>
</cp:coreProperties>
</file>